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B" w:rsidRPr="002F34D5" w:rsidRDefault="00E95E9B" w:rsidP="00E95E9B">
      <w:pPr>
        <w:pStyle w:val="Heading1"/>
      </w:pPr>
      <w:bookmarkStart w:id="0" w:name="_Toc522635783"/>
      <w:r w:rsidRPr="002F34D5">
        <w:t>Appendix C – 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882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20"/>
        <w:gridCol w:w="4500"/>
      </w:tblGrid>
      <w:tr w:rsidR="00E95E9B" w:rsidRPr="002F34D5" w:rsidTr="001315D6">
        <w:tc>
          <w:tcPr>
            <w:tcW w:w="2449" w:type="pct"/>
            <w:shd w:val="clear" w:color="auto" w:fill="E6E6E6"/>
          </w:tcPr>
          <w:p w:rsidR="00E95E9B" w:rsidRPr="002F34D5" w:rsidRDefault="00E95E9B" w:rsidP="0046665D">
            <w:pPr>
              <w:pStyle w:val="Proformaheading"/>
            </w:pPr>
            <w:r w:rsidRPr="002F34D5">
              <w:t>Name of policy</w:t>
            </w:r>
          </w:p>
        </w:tc>
        <w:tc>
          <w:tcPr>
            <w:tcW w:w="2551" w:type="pct"/>
            <w:shd w:val="clear" w:color="auto" w:fill="E6E6E6"/>
          </w:tcPr>
          <w:p w:rsidR="00E95E9B" w:rsidRPr="002F34D5" w:rsidRDefault="00E03523" w:rsidP="00C26B21">
            <w:pPr>
              <w:pStyle w:val="Proformaheading"/>
            </w:pPr>
            <w:r>
              <w:t>Efficiency Dividend E</w:t>
            </w:r>
            <w:r w:rsidR="00C26B21">
              <w:t>xtension</w:t>
            </w:r>
          </w:p>
        </w:tc>
      </w:tr>
      <w:tr w:rsidR="00E95E9B" w:rsidRPr="002F34D5" w:rsidTr="001315D6">
        <w:tc>
          <w:tcPr>
            <w:tcW w:w="2449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Person requesting costing (Prime Minister/Leader of the Opposition/Leader of a minority party):</w:t>
            </w:r>
          </w:p>
        </w:tc>
        <w:tc>
          <w:tcPr>
            <w:tcW w:w="2551" w:type="pct"/>
          </w:tcPr>
          <w:p w:rsidR="00E95E9B" w:rsidRPr="002F34D5" w:rsidRDefault="0046665D" w:rsidP="0046665D">
            <w:pPr>
              <w:pStyle w:val="Proformatext"/>
            </w:pPr>
            <w:r>
              <w:t>Prime Minister</w:t>
            </w:r>
          </w:p>
        </w:tc>
      </w:tr>
      <w:tr w:rsidR="00E95E9B" w:rsidRPr="002F34D5" w:rsidTr="001315D6">
        <w:tc>
          <w:tcPr>
            <w:tcW w:w="2449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public release of policy:</w:t>
            </w:r>
          </w:p>
        </w:tc>
        <w:tc>
          <w:tcPr>
            <w:tcW w:w="2551" w:type="pct"/>
          </w:tcPr>
          <w:p w:rsidR="00E95E9B" w:rsidRPr="002F34D5" w:rsidRDefault="00AF773A" w:rsidP="0046665D">
            <w:pPr>
              <w:pStyle w:val="Proformatext"/>
            </w:pPr>
            <w:r>
              <w:t>16</w:t>
            </w:r>
            <w:r w:rsidR="001576DB">
              <w:t xml:space="preserve"> </w:t>
            </w:r>
            <w:r w:rsidR="00C26B21">
              <w:t>May 2019</w:t>
            </w:r>
          </w:p>
        </w:tc>
      </w:tr>
      <w:tr w:rsidR="00E95E9B" w:rsidRPr="002F34D5" w:rsidTr="001315D6">
        <w:tc>
          <w:tcPr>
            <w:tcW w:w="2449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request to cost the policy:</w:t>
            </w:r>
          </w:p>
        </w:tc>
        <w:tc>
          <w:tcPr>
            <w:tcW w:w="2551" w:type="pct"/>
          </w:tcPr>
          <w:p w:rsidR="00E95E9B" w:rsidRPr="002F34D5" w:rsidRDefault="00AF773A" w:rsidP="0046665D">
            <w:pPr>
              <w:pStyle w:val="Proformatext"/>
            </w:pPr>
            <w:r>
              <w:t>16</w:t>
            </w:r>
            <w:bookmarkStart w:id="1" w:name="_GoBack"/>
            <w:bookmarkEnd w:id="1"/>
            <w:r w:rsidR="002A7085">
              <w:t xml:space="preserve"> May 2019</w:t>
            </w:r>
          </w:p>
        </w:tc>
      </w:tr>
      <w:tr w:rsidR="00E95E9B" w:rsidRPr="002F34D5" w:rsidTr="001315D6">
        <w:tc>
          <w:tcPr>
            <w:tcW w:w="2449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Summary of policy (please attach copies of relevant policy documents):</w:t>
            </w:r>
          </w:p>
        </w:tc>
        <w:tc>
          <w:tcPr>
            <w:tcW w:w="2551" w:type="pct"/>
          </w:tcPr>
          <w:p w:rsidR="000A4458" w:rsidRDefault="00C26B21" w:rsidP="000A4458">
            <w:pPr>
              <w:pStyle w:val="Proformatext"/>
            </w:pPr>
            <w:r>
              <w:t>The Coalition</w:t>
            </w:r>
            <w:r w:rsidRPr="00C26B21">
              <w:t xml:space="preserve"> will continue the Efficiency Dividend at its current level of 2 per cent for a further two years to 2020-21, before stepping down to 1.5 per cent in 2021-22 and returning t</w:t>
            </w:r>
            <w:r w:rsidR="00000682">
              <w:t>o the base rate of 1 per cent from</w:t>
            </w:r>
            <w:r w:rsidRPr="00C26B21">
              <w:t xml:space="preserve"> 2022-23.</w:t>
            </w:r>
          </w:p>
          <w:p w:rsidR="000A4458" w:rsidRDefault="000A4458" w:rsidP="000A4458">
            <w:pPr>
              <w:pStyle w:val="Proformatext"/>
            </w:pPr>
            <w:r w:rsidRPr="000A4458">
              <w:t>All existing exemptions that currently apply to the Efficiency Dividend will continue to apply, including for agencies such as the ABC, SBS and Safe Work Australia.</w:t>
            </w:r>
          </w:p>
          <w:p w:rsidR="000A4458" w:rsidRPr="000A4458" w:rsidRDefault="000A4458" w:rsidP="000A4458">
            <w:pPr>
              <w:pStyle w:val="Proformatext"/>
            </w:pPr>
            <w:r w:rsidRPr="000A4458">
              <w:t xml:space="preserve">The current temporary exemption granted to the Australian Signals Directorate and Office of National Intelligence would be made ongoing and further exemptions will apply in relation to </w:t>
            </w:r>
            <w:r w:rsidR="004E4BCC">
              <w:t>this</w:t>
            </w:r>
            <w:r w:rsidRPr="000A4458">
              <w:t xml:space="preserve"> Efficiency Dividend extension, including for:</w:t>
            </w:r>
          </w:p>
          <w:p w:rsidR="000A4458" w:rsidRPr="00A85D23" w:rsidRDefault="000A4458" w:rsidP="00A85D23">
            <w:pPr>
              <w:pStyle w:val="Proformatext"/>
              <w:numPr>
                <w:ilvl w:val="0"/>
                <w:numId w:val="2"/>
              </w:numPr>
            </w:pPr>
            <w:r w:rsidRPr="00A85D23">
              <w:t>the National Disability Insurance Agency</w:t>
            </w:r>
            <w:r w:rsidR="00000682">
              <w:t>;</w:t>
            </w:r>
          </w:p>
          <w:p w:rsidR="000A4458" w:rsidRPr="00A85D23" w:rsidRDefault="000A4458" w:rsidP="00A85D23">
            <w:pPr>
              <w:pStyle w:val="Proformatext"/>
              <w:numPr>
                <w:ilvl w:val="0"/>
                <w:numId w:val="2"/>
              </w:numPr>
            </w:pPr>
            <w:r w:rsidRPr="00A85D23">
              <w:t>the Australian Securities and Investments Commission</w:t>
            </w:r>
            <w:r w:rsidR="00000682">
              <w:t>;</w:t>
            </w:r>
          </w:p>
          <w:p w:rsidR="000A4458" w:rsidRPr="00A85D23" w:rsidRDefault="000A4458" w:rsidP="00A85D23">
            <w:pPr>
              <w:pStyle w:val="Proformatext"/>
              <w:numPr>
                <w:ilvl w:val="0"/>
                <w:numId w:val="2"/>
              </w:numPr>
            </w:pPr>
            <w:r w:rsidRPr="00A85D23">
              <w:t>the Australian Prudential Regulation Authority</w:t>
            </w:r>
            <w:r w:rsidR="00000682">
              <w:t>;</w:t>
            </w:r>
          </w:p>
          <w:p w:rsidR="000A4458" w:rsidRPr="00A85D23" w:rsidRDefault="000A4458" w:rsidP="00A85D23">
            <w:pPr>
              <w:pStyle w:val="Proformatext"/>
              <w:numPr>
                <w:ilvl w:val="0"/>
                <w:numId w:val="2"/>
              </w:numPr>
            </w:pPr>
            <w:r w:rsidRPr="00A85D23">
              <w:t>National Collecting Institutions, including the Australian War Memorial, National Archives of Australia, National Gallery of Australia, National Library of Australia and National Museum of Australia</w:t>
            </w:r>
            <w:r w:rsidR="00000682">
              <w:t>; and</w:t>
            </w:r>
          </w:p>
          <w:p w:rsidR="000A4458" w:rsidRPr="002F34D5" w:rsidRDefault="000A4458" w:rsidP="00C26B21">
            <w:pPr>
              <w:pStyle w:val="Proformatext"/>
              <w:numPr>
                <w:ilvl w:val="0"/>
                <w:numId w:val="2"/>
              </w:numPr>
            </w:pPr>
            <w:r w:rsidRPr="00A85D23">
              <w:t>all agencies with an Average Staffing Level of below 200</w:t>
            </w:r>
            <w:r w:rsidR="00000682">
              <w:t>.</w:t>
            </w:r>
          </w:p>
        </w:tc>
      </w:tr>
      <w:tr w:rsidR="00E95E9B" w:rsidRPr="002F34D5" w:rsidTr="001315D6">
        <w:tc>
          <w:tcPr>
            <w:tcW w:w="2449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Intention of policy:</w:t>
            </w:r>
          </w:p>
        </w:tc>
        <w:tc>
          <w:tcPr>
            <w:tcW w:w="2551" w:type="pct"/>
          </w:tcPr>
          <w:p w:rsidR="00E95E9B" w:rsidRPr="002F34D5" w:rsidRDefault="00C26B21" w:rsidP="002D4476">
            <w:pPr>
              <w:pStyle w:val="Proformatext"/>
            </w:pPr>
            <w:r w:rsidRPr="00C26B21">
              <w:t xml:space="preserve">To ensure Government agencies continue to focus their efforts on achieving ongoing efficiencies in </w:t>
            </w:r>
            <w:r w:rsidR="002D4476">
              <w:t xml:space="preserve">Government </w:t>
            </w:r>
            <w:r w:rsidRPr="00C26B21">
              <w:t>admi</w:t>
            </w:r>
            <w:r w:rsidR="002D4476">
              <w:t>nistration.</w:t>
            </w:r>
          </w:p>
        </w:tc>
      </w:tr>
      <w:tr w:rsidR="000753D9" w:rsidRPr="002F34D5" w:rsidTr="001315D6"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Certification that this, or a substantially similar costing request, has not been submitted to the Parliamentary Budget Office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T</w:t>
            </w:r>
            <w:r w:rsidRPr="002F34D5">
              <w:t>his, or a substantially similar costing request, has not been submitted to the Parliamentary Budget Office</w:t>
            </w:r>
          </w:p>
        </w:tc>
      </w:tr>
      <w:tr w:rsidR="000753D9" w:rsidRPr="002F34D5" w:rsidTr="001315D6">
        <w:tc>
          <w:tcPr>
            <w:tcW w:w="5000" w:type="pct"/>
            <w:gridSpan w:val="2"/>
            <w:shd w:val="clear" w:color="auto" w:fill="E6E6E6"/>
          </w:tcPr>
          <w:p w:rsidR="000753D9" w:rsidRPr="002F34D5" w:rsidRDefault="000753D9" w:rsidP="000753D9">
            <w:pPr>
              <w:pStyle w:val="Proformaheading"/>
            </w:pPr>
            <w:r w:rsidRPr="002F34D5">
              <w:lastRenderedPageBreak/>
              <w:t>Description of policy (please note that, where the request to cost a proposal differs from the announced policy, the costing will be on the basis of information provided in the costing request)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</w:tc>
      </w:tr>
      <w:tr w:rsidR="000753D9" w:rsidRPr="002F34D5" w:rsidTr="001315D6">
        <w:trPr>
          <w:trHeight w:val="975"/>
        </w:trPr>
        <w:tc>
          <w:tcPr>
            <w:tcW w:w="2449" w:type="pct"/>
            <w:tcBorders>
              <w:bottom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Is the policy part of a package?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and outline components and interactions with proposed or existing policies.</w:t>
            </w:r>
          </w:p>
        </w:tc>
        <w:tc>
          <w:tcPr>
            <w:tcW w:w="2551" w:type="pct"/>
            <w:tcBorders>
              <w:bottom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1315D6">
        <w:trPr>
          <w:trHeight w:val="660"/>
        </w:trPr>
        <w:tc>
          <w:tcPr>
            <w:tcW w:w="2449" w:type="pct"/>
            <w:tcBorders>
              <w:right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Where relevant, is funding for the policy to be demand driven or a capped amount?</w:t>
            </w:r>
          </w:p>
        </w:tc>
        <w:tc>
          <w:tcPr>
            <w:tcW w:w="2551" w:type="pct"/>
            <w:tcBorders>
              <w:left w:val="single" w:sz="2" w:space="0" w:color="C0C0C0"/>
            </w:tcBorders>
          </w:tcPr>
          <w:p w:rsidR="000753D9" w:rsidRPr="002F34D5" w:rsidRDefault="00C26B21" w:rsidP="00C26B21">
            <w:pPr>
              <w:pStyle w:val="Proformatext"/>
            </w:pPr>
            <w:r>
              <w:t>Not applicable</w:t>
            </w:r>
          </w:p>
        </w:tc>
      </w:tr>
      <w:tr w:rsidR="000753D9" w:rsidRPr="002F34D5" w:rsidTr="001315D6">
        <w:trPr>
          <w:trHeight w:val="171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Will third parties (for instance the States/Territories) have a role in funding or delivering the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1315D6">
        <w:trPr>
          <w:trHeight w:val="72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Are there associated savings, offsets or expenses?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provide details.</w:t>
            </w:r>
          </w:p>
        </w:tc>
        <w:tc>
          <w:tcPr>
            <w:tcW w:w="2551" w:type="pct"/>
          </w:tcPr>
          <w:p w:rsidR="000753D9" w:rsidRPr="002F34D5" w:rsidRDefault="000753D9" w:rsidP="00C26B21">
            <w:pPr>
              <w:pStyle w:val="Proformatext"/>
            </w:pPr>
            <w:r>
              <w:t>No</w:t>
            </w:r>
            <w:r w:rsidR="00C26B21">
              <w:t>t applicable</w:t>
            </w:r>
          </w:p>
        </w:tc>
      </w:tr>
      <w:tr w:rsidR="000753D9" w:rsidRPr="002F34D5" w:rsidTr="001315D6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:rsidR="000753D9" w:rsidRPr="002F34D5" w:rsidRDefault="000753D9" w:rsidP="000753D9">
            <w:pPr>
              <w:pStyle w:val="Proformaheading"/>
            </w:pPr>
            <w:r w:rsidRPr="002F34D5">
              <w:t xml:space="preserve">Description of policy (please note that, where the request to cost a proposal differs from the announced policy, the costing will be on the basis of information provided in the costing request) 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(continued)</w:t>
            </w:r>
          </w:p>
        </w:tc>
      </w:tr>
      <w:tr w:rsidR="000753D9" w:rsidRPr="002F34D5" w:rsidTr="001315D6">
        <w:trPr>
          <w:trHeight w:val="675"/>
        </w:trPr>
        <w:tc>
          <w:tcPr>
            <w:tcW w:w="2449" w:type="pct"/>
            <w:tcBorders>
              <w:top w:val="nil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Does the policy relate to a previous budget measure?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which measure?</w:t>
            </w:r>
          </w:p>
        </w:tc>
        <w:tc>
          <w:tcPr>
            <w:tcW w:w="2551" w:type="pct"/>
            <w:tcBorders>
              <w:top w:val="nil"/>
            </w:tcBorders>
          </w:tcPr>
          <w:p w:rsidR="000753D9" w:rsidRDefault="00C26B21" w:rsidP="00C26B21">
            <w:pPr>
              <w:pStyle w:val="Proformatext"/>
            </w:pPr>
            <w:r>
              <w:t xml:space="preserve">This policy extends the </w:t>
            </w:r>
            <w:r w:rsidRPr="00C26B21">
              <w:t>Efficiency Dividend at its current level of 2 per cent for a further two years to 2020-21, before stepping down to 1.5 per cent in 2021-22 and returning t</w:t>
            </w:r>
            <w:r w:rsidR="00000682">
              <w:t>o the base rate of 1 per cent from</w:t>
            </w:r>
            <w:r w:rsidRPr="00C26B21">
              <w:t xml:space="preserve"> 2022-23.</w:t>
            </w:r>
          </w:p>
          <w:p w:rsidR="001315D6" w:rsidRPr="002F34D5" w:rsidRDefault="001315D6" w:rsidP="00C26B21">
            <w:pPr>
              <w:pStyle w:val="Proformatext"/>
            </w:pPr>
            <w:r w:rsidRPr="000A4458">
              <w:t xml:space="preserve">All existing exemptions that currently apply to the Efficiency Dividend will continue to apply, </w:t>
            </w:r>
            <w:r>
              <w:t>t</w:t>
            </w:r>
            <w:r w:rsidRPr="000A4458">
              <w:t xml:space="preserve">he current temporary exemption granted to the Australian Signals Directorate and Office of National Intelligence would be made ongoing and further exemptions will apply in relation to </w:t>
            </w:r>
            <w:r>
              <w:t>this</w:t>
            </w:r>
            <w:r w:rsidRPr="000A4458">
              <w:t xml:space="preserve"> Efficiency Dividend extension</w:t>
            </w:r>
            <w:r>
              <w:t xml:space="preserve"> as outlined above.</w:t>
            </w:r>
          </w:p>
        </w:tc>
      </w:tr>
      <w:tr w:rsidR="000753D9" w:rsidRPr="002F34D5" w:rsidTr="001315D6">
        <w:trPr>
          <w:cantSplit/>
          <w:trHeight w:val="150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If the proposal would change an existing measure, are savings expected from the departmental costs of implementing the program? Will funding/cost require indexation?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factors used.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1315D6">
        <w:trPr>
          <w:cantSplit/>
          <w:trHeight w:val="69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lastRenderedPageBreak/>
              <w:t>What are the estimated costs each year? Are these provided on a cash or fiscal basis?</w:t>
            </w:r>
          </w:p>
        </w:tc>
        <w:tc>
          <w:tcPr>
            <w:tcW w:w="2551" w:type="pct"/>
          </w:tcPr>
          <w:p w:rsidR="008F2F0A" w:rsidRDefault="008F2F0A" w:rsidP="000753D9">
            <w:pPr>
              <w:pStyle w:val="Proformatext"/>
            </w:pPr>
            <w:r>
              <w:t>This policy is estimated to result in payment saves of:</w:t>
            </w:r>
          </w:p>
          <w:p w:rsidR="000753D9" w:rsidRDefault="00B501B9" w:rsidP="000753D9">
            <w:pPr>
              <w:pStyle w:val="Proformatext"/>
            </w:pPr>
            <w:r>
              <w:t>$136</w:t>
            </w:r>
            <w:r w:rsidR="008F2F0A">
              <w:t xml:space="preserve"> </w:t>
            </w:r>
            <w:r w:rsidR="000753D9">
              <w:t>million in 2019-20</w:t>
            </w:r>
          </w:p>
          <w:p w:rsidR="008F2F0A" w:rsidRDefault="00B501B9" w:rsidP="000753D9">
            <w:pPr>
              <w:pStyle w:val="Proformatext"/>
            </w:pPr>
            <w:r>
              <w:t>$379</w:t>
            </w:r>
            <w:r w:rsidR="008F2F0A">
              <w:t xml:space="preserve"> million in 2020-21</w:t>
            </w:r>
          </w:p>
          <w:p w:rsidR="008F2F0A" w:rsidRDefault="00B501B9" w:rsidP="000753D9">
            <w:pPr>
              <w:pStyle w:val="Proformatext"/>
            </w:pPr>
            <w:r>
              <w:t>$506</w:t>
            </w:r>
            <w:r w:rsidR="008F2F0A">
              <w:t xml:space="preserve"> million in 2021-22</w:t>
            </w:r>
          </w:p>
          <w:p w:rsidR="008F2F0A" w:rsidRDefault="00B501B9" w:rsidP="000753D9">
            <w:pPr>
              <w:pStyle w:val="Proformatext"/>
            </w:pPr>
            <w:r>
              <w:t>$493</w:t>
            </w:r>
            <w:r w:rsidR="008F2F0A">
              <w:t xml:space="preserve"> million in 2022-23</w:t>
            </w:r>
          </w:p>
          <w:p w:rsidR="00C26B21" w:rsidRPr="002F34D5" w:rsidRDefault="008F2F0A" w:rsidP="000753D9">
            <w:pPr>
              <w:pStyle w:val="Proformatext"/>
            </w:pPr>
            <w:r>
              <w:t>Cash basis</w:t>
            </w:r>
          </w:p>
        </w:tc>
      </w:tr>
      <w:tr w:rsidR="000753D9" w:rsidRPr="002F34D5" w:rsidTr="001315D6">
        <w:trPr>
          <w:cantSplit/>
          <w:trHeight w:val="690"/>
        </w:trPr>
        <w:tc>
          <w:tcPr>
            <w:tcW w:w="2449" w:type="pct"/>
          </w:tcPr>
          <w:p w:rsidR="000753D9" w:rsidRPr="002F34D5" w:rsidRDefault="000753D9" w:rsidP="000753D9">
            <w:pPr>
              <w:rPr>
                <w:color w:val="000000"/>
              </w:rPr>
            </w:pPr>
            <w:r w:rsidRPr="002F34D5">
              <w:rPr>
                <w:color w:val="000000"/>
              </w:rPr>
              <w:t xml:space="preserve">Are the revenue and/or expense costs likely to be significantly different beyond the forward estimates period? </w:t>
            </w:r>
            <w:r w:rsidRPr="002F34D5">
              <w:t xml:space="preserve"> If yes, why?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1315D6">
        <w:trPr>
          <w:cantSplit/>
          <w:trHeight w:val="117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551" w:type="pct"/>
          </w:tcPr>
          <w:p w:rsidR="009336E8" w:rsidRDefault="00915C19" w:rsidP="001315D6">
            <w:pPr>
              <w:pStyle w:val="Proformatext"/>
            </w:pPr>
            <w:r>
              <w:t>T</w:t>
            </w:r>
            <w:r w:rsidRPr="00C26B21">
              <w:t xml:space="preserve">he </w:t>
            </w:r>
            <w:r>
              <w:t xml:space="preserve">expected financial </w:t>
            </w:r>
            <w:r w:rsidR="001315D6">
              <w:t>impact is based on applying the</w:t>
            </w:r>
            <w:r>
              <w:t xml:space="preserve"> Efficiency Dividend extension to </w:t>
            </w:r>
            <w:r w:rsidR="001315D6">
              <w:t xml:space="preserve">estimated </w:t>
            </w:r>
            <w:r>
              <w:t xml:space="preserve">departmental </w:t>
            </w:r>
            <w:r w:rsidR="001315D6">
              <w:t xml:space="preserve">appropriations in each year of the </w:t>
            </w:r>
            <w:r w:rsidR="009336E8">
              <w:t>forward estimates, adjusted for:</w:t>
            </w:r>
          </w:p>
          <w:p w:rsidR="009336E8" w:rsidRDefault="001315D6" w:rsidP="009336E8">
            <w:pPr>
              <w:pStyle w:val="Proformatext"/>
              <w:numPr>
                <w:ilvl w:val="0"/>
                <w:numId w:val="3"/>
              </w:numPr>
            </w:pPr>
            <w:r>
              <w:t>all existing exemptions that currently apply to the Efficiency Dividend</w:t>
            </w:r>
            <w:r w:rsidR="009336E8">
              <w:t>;</w:t>
            </w:r>
          </w:p>
          <w:p w:rsidR="009336E8" w:rsidRDefault="00000682" w:rsidP="009336E8">
            <w:pPr>
              <w:pStyle w:val="Proformatext"/>
              <w:numPr>
                <w:ilvl w:val="0"/>
                <w:numId w:val="3"/>
              </w:numPr>
            </w:pPr>
            <w:r>
              <w:t>making t</w:t>
            </w:r>
            <w:r w:rsidRPr="000A4458">
              <w:t>he current temporary exemption granted to the Australian Signals Directorate and Office of National Intelligence ongoing</w:t>
            </w:r>
            <w:r w:rsidR="009336E8">
              <w:t>; and</w:t>
            </w:r>
          </w:p>
          <w:p w:rsidR="00000682" w:rsidRPr="002F34D5" w:rsidRDefault="001315D6" w:rsidP="001315D6">
            <w:pPr>
              <w:pStyle w:val="Proformatext"/>
              <w:numPr>
                <w:ilvl w:val="0"/>
                <w:numId w:val="3"/>
              </w:numPr>
            </w:pPr>
            <w:r>
              <w:t xml:space="preserve">the additional exemptions </w:t>
            </w:r>
            <w:r w:rsidR="009336E8">
              <w:t xml:space="preserve">to the Efficiency Dividend extension </w:t>
            </w:r>
            <w:r>
              <w:t>as outlined above.</w:t>
            </w:r>
          </w:p>
        </w:tc>
      </w:tr>
      <w:tr w:rsidR="000753D9" w:rsidRPr="002F34D5" w:rsidTr="001315D6">
        <w:trPr>
          <w:cantSplit/>
          <w:trHeight w:val="915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Has the policy been costed by a third party?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can you provide a copy of this costing and its assumptions?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1315D6">
        <w:trPr>
          <w:cantSplit/>
          <w:trHeight w:val="2207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is the expected community impact of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How many people or businesses will be affected by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likely take up?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basis for these impact assessments/assumptions?</w:t>
            </w:r>
          </w:p>
        </w:tc>
        <w:tc>
          <w:tcPr>
            <w:tcW w:w="2551" w:type="pct"/>
          </w:tcPr>
          <w:p w:rsidR="000753D9" w:rsidRPr="002F34D5" w:rsidRDefault="00756533" w:rsidP="002D4476">
            <w:pPr>
              <w:pStyle w:val="Proformatext"/>
            </w:pPr>
            <w:r w:rsidRPr="00C26B21">
              <w:t xml:space="preserve">To ensure Government agencies continue to focus their efforts on achieving ongoing efficiencies in </w:t>
            </w:r>
            <w:r w:rsidR="002D4476">
              <w:t xml:space="preserve">Government </w:t>
            </w:r>
            <w:r w:rsidRPr="00C26B21">
              <w:t>admi</w:t>
            </w:r>
            <w:r w:rsidR="000F6ADA">
              <w:t>nistration</w:t>
            </w:r>
            <w:r>
              <w:t>.</w:t>
            </w:r>
          </w:p>
        </w:tc>
      </w:tr>
      <w:tr w:rsidR="000753D9" w:rsidRPr="002F34D5" w:rsidTr="001315D6">
        <w:tc>
          <w:tcPr>
            <w:tcW w:w="5000" w:type="pct"/>
            <w:gridSpan w:val="2"/>
          </w:tcPr>
          <w:p w:rsidR="000753D9" w:rsidRPr="002F34D5" w:rsidRDefault="000753D9" w:rsidP="000753D9">
            <w:pPr>
              <w:pStyle w:val="Proformatext"/>
            </w:pPr>
            <w:r w:rsidRPr="002F34D5">
              <w:rPr>
                <w:rStyle w:val="CaptionChar"/>
              </w:rPr>
              <w:t>NOTE:</w:t>
            </w:r>
            <w:r w:rsidRPr="002F34D5"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0753D9" w:rsidRPr="002F34D5" w:rsidTr="001315D6">
        <w:tc>
          <w:tcPr>
            <w:tcW w:w="2449" w:type="pct"/>
            <w:shd w:val="clear" w:color="auto" w:fill="E6E6E6"/>
          </w:tcPr>
          <w:p w:rsidR="000753D9" w:rsidRPr="002F34D5" w:rsidRDefault="000753D9" w:rsidP="000753D9">
            <w:pPr>
              <w:pStyle w:val="Proformaheading"/>
              <w:pageBreakBefore/>
            </w:pPr>
            <w:r w:rsidRPr="002F34D5">
              <w:lastRenderedPageBreak/>
              <w:t>Administration of policy</w:t>
            </w:r>
          </w:p>
        </w:tc>
        <w:tc>
          <w:tcPr>
            <w:tcW w:w="2551" w:type="pct"/>
            <w:shd w:val="clear" w:color="auto" w:fill="E6E6E6"/>
          </w:tcPr>
          <w:p w:rsidR="000753D9" w:rsidRPr="002F34D5" w:rsidRDefault="000753D9" w:rsidP="000753D9">
            <w:pPr>
              <w:pStyle w:val="Heading5"/>
            </w:pPr>
          </w:p>
        </w:tc>
      </w:tr>
      <w:tr w:rsidR="000753D9" w:rsidRPr="002F34D5" w:rsidTr="001315D6">
        <w:trPr>
          <w:trHeight w:val="932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Who will administer the policy (for example, Australian Government entity, the States, non</w:t>
            </w:r>
            <w:r w:rsidRPr="002F34D5">
              <w:noBreakHyphen/>
              <w:t>government organisation, etc.)?</w:t>
            </w:r>
          </w:p>
        </w:tc>
        <w:tc>
          <w:tcPr>
            <w:tcW w:w="2551" w:type="pct"/>
          </w:tcPr>
          <w:p w:rsidR="000753D9" w:rsidRPr="002F34D5" w:rsidRDefault="00966AF4" w:rsidP="000753D9">
            <w:pPr>
              <w:pStyle w:val="Proformatext"/>
            </w:pPr>
            <w:r>
              <w:t>Department of Finance</w:t>
            </w:r>
          </w:p>
        </w:tc>
      </w:tr>
      <w:tr w:rsidR="000753D9" w:rsidRPr="002F34D5" w:rsidTr="001315D6">
        <w:trPr>
          <w:trHeight w:val="2831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Should departmental expenses associated with this policy be included in this costing?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 xml:space="preserve">If no, will the Australian Government Entity be expected to absorb expenses associated with this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551" w:type="pct"/>
          </w:tcPr>
          <w:p w:rsidR="000753D9" w:rsidRDefault="000753D9" w:rsidP="000753D9">
            <w:pPr>
              <w:pStyle w:val="Proformatext"/>
            </w:pPr>
            <w:r>
              <w:t>No</w:t>
            </w:r>
            <w:r w:rsidR="00966AF4">
              <w:t>.</w:t>
            </w:r>
          </w:p>
          <w:p w:rsidR="000753D9" w:rsidRPr="002F34D5" w:rsidRDefault="00966AF4" w:rsidP="000753D9">
            <w:pPr>
              <w:pStyle w:val="Proformatext"/>
            </w:pPr>
            <w:r>
              <w:t>Department of Finance</w:t>
            </w:r>
            <w:r w:rsidR="000753D9" w:rsidRPr="00335A0F">
              <w:t xml:space="preserve"> to absorb any associated departmental operating or capital expenses</w:t>
            </w:r>
            <w:r w:rsidR="009A66F0">
              <w:t xml:space="preserve"> in applying this policy</w:t>
            </w:r>
            <w:r w:rsidR="000753D9" w:rsidRPr="00335A0F">
              <w:t>.</w:t>
            </w:r>
          </w:p>
        </w:tc>
      </w:tr>
      <w:tr w:rsidR="000753D9" w:rsidRPr="002F34D5" w:rsidTr="001315D6">
        <w:trPr>
          <w:trHeight w:val="420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Intended date of implementation.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1 July 2019</w:t>
            </w:r>
          </w:p>
        </w:tc>
      </w:tr>
      <w:tr w:rsidR="000753D9" w:rsidRPr="002F34D5" w:rsidTr="001315D6">
        <w:trPr>
          <w:trHeight w:val="705"/>
        </w:trPr>
        <w:tc>
          <w:tcPr>
            <w:tcW w:w="2449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transitional arrangements associated with policy implementation?</w:t>
            </w:r>
          </w:p>
        </w:tc>
        <w:tc>
          <w:tcPr>
            <w:tcW w:w="2551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CC5E04" w:rsidRPr="002F34D5" w:rsidTr="001315D6">
        <w:trPr>
          <w:trHeight w:val="705"/>
        </w:trPr>
        <w:tc>
          <w:tcPr>
            <w:tcW w:w="2449" w:type="pct"/>
          </w:tcPr>
          <w:p w:rsidR="00CC5E04" w:rsidRPr="002F34D5" w:rsidRDefault="00CC5E04" w:rsidP="00CC5E04">
            <w:pPr>
              <w:pStyle w:val="Proformatext"/>
            </w:pPr>
            <w:r w:rsidRPr="002F34D5">
              <w:t>Will the policy be ongoing or terminating*?</w:t>
            </w:r>
          </w:p>
        </w:tc>
        <w:tc>
          <w:tcPr>
            <w:tcW w:w="2551" w:type="pct"/>
          </w:tcPr>
          <w:p w:rsidR="00CC5E04" w:rsidRPr="002F34D5" w:rsidRDefault="00CC5E04" w:rsidP="00CC5E04">
            <w:pPr>
              <w:pStyle w:val="Proformatext"/>
            </w:pPr>
            <w:r>
              <w:t xml:space="preserve">Terminating on 30 June 2022, although the </w:t>
            </w:r>
            <w:r w:rsidR="00C836B8">
              <w:t xml:space="preserve">effect of the </w:t>
            </w:r>
            <w:r>
              <w:t xml:space="preserve">policy will result in an ongoing reduction </w:t>
            </w:r>
            <w:r w:rsidR="009A66F0">
              <w:t>to departmental appropriations.</w:t>
            </w:r>
          </w:p>
        </w:tc>
      </w:tr>
      <w:tr w:rsidR="00DF44DD" w:rsidRPr="002F34D5" w:rsidTr="001315D6">
        <w:trPr>
          <w:trHeight w:val="705"/>
        </w:trPr>
        <w:tc>
          <w:tcPr>
            <w:tcW w:w="2449" w:type="pct"/>
          </w:tcPr>
          <w:p w:rsidR="00DF44DD" w:rsidRPr="002F34D5" w:rsidRDefault="00DF44DD" w:rsidP="00DF44DD">
            <w:pPr>
              <w:pStyle w:val="Proformatext"/>
            </w:pPr>
            <w:r w:rsidRPr="002F34D5">
              <w:t xml:space="preserve">If terminating:  </w:t>
            </w:r>
          </w:p>
          <w:p w:rsidR="00DF44DD" w:rsidRPr="002F34D5" w:rsidRDefault="00DF44DD" w:rsidP="00DF44DD">
            <w:pPr>
              <w:pStyle w:val="Proformatext"/>
            </w:pPr>
            <w:r w:rsidRPr="002F34D5">
              <w:t>What is the intended date of termination?</w:t>
            </w:r>
          </w:p>
          <w:p w:rsidR="00DF44DD" w:rsidRPr="002F34D5" w:rsidRDefault="00DF44DD" w:rsidP="00DF44DD">
            <w:pPr>
              <w:pStyle w:val="Proformatext"/>
            </w:pPr>
            <w:r w:rsidRPr="002F34D5">
              <w:t>Are there any transitional arrangements associated with the conclusion of the policy?</w:t>
            </w:r>
          </w:p>
        </w:tc>
        <w:tc>
          <w:tcPr>
            <w:tcW w:w="2551" w:type="pct"/>
          </w:tcPr>
          <w:p w:rsidR="00DF44DD" w:rsidRPr="002F34D5" w:rsidRDefault="00DF44DD" w:rsidP="00DF44DD">
            <w:pPr>
              <w:pStyle w:val="Proformatext"/>
            </w:pPr>
            <w:r>
              <w:t>Not applicable</w:t>
            </w:r>
          </w:p>
        </w:tc>
      </w:tr>
      <w:tr w:rsidR="00DF44DD" w:rsidRPr="002F34D5" w:rsidTr="001315D6">
        <w:trPr>
          <w:trHeight w:val="705"/>
        </w:trPr>
        <w:tc>
          <w:tcPr>
            <w:tcW w:w="2449" w:type="pct"/>
          </w:tcPr>
          <w:p w:rsidR="00DF44DD" w:rsidRPr="002F34D5" w:rsidRDefault="00DF44DD" w:rsidP="00DF44DD">
            <w:pPr>
              <w:pStyle w:val="Proformatext"/>
            </w:pPr>
            <w:r w:rsidRPr="002F34D5">
              <w:t>List major data sources utilised to develop policy (for example, ABS cat. no. 3201.0).</w:t>
            </w:r>
          </w:p>
        </w:tc>
        <w:tc>
          <w:tcPr>
            <w:tcW w:w="2551" w:type="pct"/>
          </w:tcPr>
          <w:p w:rsidR="00DF44DD" w:rsidRPr="002F34D5" w:rsidRDefault="00DF44DD" w:rsidP="00DF44DD">
            <w:pPr>
              <w:pStyle w:val="Proformatext"/>
            </w:pPr>
            <w:r>
              <w:t>Not applicable</w:t>
            </w:r>
          </w:p>
        </w:tc>
      </w:tr>
      <w:tr w:rsidR="00DF44DD" w:rsidRPr="002F34D5" w:rsidTr="001315D6">
        <w:trPr>
          <w:trHeight w:val="660"/>
        </w:trPr>
        <w:tc>
          <w:tcPr>
            <w:tcW w:w="2449" w:type="pct"/>
          </w:tcPr>
          <w:p w:rsidR="00DF44DD" w:rsidRPr="002F34D5" w:rsidRDefault="00DF44DD" w:rsidP="00DF44DD">
            <w:pPr>
              <w:pStyle w:val="Proformatext"/>
            </w:pPr>
            <w:r w:rsidRPr="002F34D5">
              <w:t>Are there any other assumptions that need to be considered?</w:t>
            </w:r>
          </w:p>
        </w:tc>
        <w:tc>
          <w:tcPr>
            <w:tcW w:w="2551" w:type="pct"/>
          </w:tcPr>
          <w:p w:rsidR="00DF44DD" w:rsidRPr="002F34D5" w:rsidRDefault="00DF44DD" w:rsidP="00DF44DD">
            <w:pPr>
              <w:pStyle w:val="Proformatext"/>
            </w:pPr>
            <w:r>
              <w:t>No</w:t>
            </w:r>
          </w:p>
        </w:tc>
      </w:tr>
    </w:tbl>
    <w:p w:rsidR="00E95E9B" w:rsidRPr="002F34D5" w:rsidRDefault="00E95E9B" w:rsidP="00E95E9B">
      <w:r w:rsidRPr="002F34D5"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82" w:rsidRDefault="00000682" w:rsidP="00E95E9B">
      <w:pPr>
        <w:spacing w:after="0" w:line="240" w:lineRule="auto"/>
      </w:pPr>
      <w:r>
        <w:separator/>
      </w:r>
    </w:p>
  </w:endnote>
  <w:endnote w:type="continuationSeparator" w:id="0">
    <w:p w:rsidR="00000682" w:rsidRDefault="00000682" w:rsidP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82" w:rsidRDefault="00000682" w:rsidP="00E95E9B">
      <w:pPr>
        <w:spacing w:after="0" w:line="240" w:lineRule="auto"/>
      </w:pPr>
      <w:r>
        <w:separator/>
      </w:r>
    </w:p>
  </w:footnote>
  <w:footnote w:type="continuationSeparator" w:id="0">
    <w:p w:rsidR="00000682" w:rsidRDefault="00000682" w:rsidP="00E95E9B">
      <w:pPr>
        <w:spacing w:after="0" w:line="240" w:lineRule="auto"/>
      </w:pPr>
      <w:r>
        <w:continuationSeparator/>
      </w:r>
    </w:p>
  </w:footnote>
  <w:footnote w:id="1">
    <w:p w:rsidR="00000682" w:rsidRDefault="00000682" w:rsidP="00E95E9B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6FB8"/>
    <w:multiLevelType w:val="hybridMultilevel"/>
    <w:tmpl w:val="57FE0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392F"/>
    <w:multiLevelType w:val="multilevel"/>
    <w:tmpl w:val="7D9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761F5"/>
    <w:multiLevelType w:val="multilevel"/>
    <w:tmpl w:val="7D9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B"/>
    <w:rsid w:val="00000682"/>
    <w:rsid w:val="000753D9"/>
    <w:rsid w:val="000A4458"/>
    <w:rsid w:val="000F6ADA"/>
    <w:rsid w:val="001315D6"/>
    <w:rsid w:val="001576DB"/>
    <w:rsid w:val="001A1373"/>
    <w:rsid w:val="00247CEE"/>
    <w:rsid w:val="002A7085"/>
    <w:rsid w:val="002C0296"/>
    <w:rsid w:val="002D4476"/>
    <w:rsid w:val="00335A0F"/>
    <w:rsid w:val="003C63B6"/>
    <w:rsid w:val="0046665D"/>
    <w:rsid w:val="004E4BCC"/>
    <w:rsid w:val="00501FE5"/>
    <w:rsid w:val="00516D1B"/>
    <w:rsid w:val="00582618"/>
    <w:rsid w:val="005C7E73"/>
    <w:rsid w:val="00675A23"/>
    <w:rsid w:val="007402B6"/>
    <w:rsid w:val="00756533"/>
    <w:rsid w:val="00787707"/>
    <w:rsid w:val="007F1FC2"/>
    <w:rsid w:val="008F2F0A"/>
    <w:rsid w:val="00915C19"/>
    <w:rsid w:val="009336E8"/>
    <w:rsid w:val="00966AF4"/>
    <w:rsid w:val="009A66F0"/>
    <w:rsid w:val="00A85D23"/>
    <w:rsid w:val="00AB0D1B"/>
    <w:rsid w:val="00AF773A"/>
    <w:rsid w:val="00B501B9"/>
    <w:rsid w:val="00C26B21"/>
    <w:rsid w:val="00C836B8"/>
    <w:rsid w:val="00C97AE1"/>
    <w:rsid w:val="00CC5E04"/>
    <w:rsid w:val="00CF3BE9"/>
    <w:rsid w:val="00DF19B8"/>
    <w:rsid w:val="00DF44DD"/>
    <w:rsid w:val="00E03523"/>
    <w:rsid w:val="00E276F7"/>
    <w:rsid w:val="00E95E9B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97D3"/>
  <w15:chartTrackingRefBased/>
  <w15:docId w15:val="{1AFE0273-2545-464D-B7A0-44F5C4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9B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5E9B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5">
    <w:name w:val="heading 5"/>
    <w:basedOn w:val="Normal"/>
    <w:next w:val="Normal"/>
    <w:link w:val="Heading5Char"/>
    <w:qFormat/>
    <w:rsid w:val="00E95E9B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9B"/>
    <w:rPr>
      <w:rFonts w:ascii="Arial" w:eastAsia="Times New Roman" w:hAnsi="Arial" w:cs="Times New Roman"/>
      <w:b/>
      <w:smallCaps/>
      <w:kern w:val="34"/>
      <w:sz w:val="3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95E9B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95E9B"/>
    <w:rPr>
      <w:b/>
      <w:bCs/>
    </w:rPr>
  </w:style>
  <w:style w:type="character" w:customStyle="1" w:styleId="CaptionChar">
    <w:name w:val="Caption Char"/>
    <w:basedOn w:val="DefaultParagraphFont"/>
    <w:link w:val="Caption"/>
    <w:locked/>
    <w:rsid w:val="00E95E9B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Proformatext">
    <w:name w:val="Pro forma text"/>
    <w:basedOn w:val="Normal"/>
    <w:rsid w:val="00E95E9B"/>
    <w:pPr>
      <w:spacing w:before="80" w:after="80"/>
      <w:jc w:val="left"/>
    </w:pPr>
  </w:style>
  <w:style w:type="paragraph" w:customStyle="1" w:styleId="Proformabullet">
    <w:name w:val="Pro forma bullet"/>
    <w:basedOn w:val="Normal"/>
    <w:rsid w:val="00E95E9B"/>
    <w:pPr>
      <w:spacing w:before="80" w:after="80"/>
      <w:jc w:val="left"/>
    </w:pPr>
  </w:style>
  <w:style w:type="paragraph" w:customStyle="1" w:styleId="Proformaheading">
    <w:name w:val="Pro forma heading"/>
    <w:basedOn w:val="Heading5"/>
    <w:rsid w:val="00E95E9B"/>
    <w:pPr>
      <w:spacing w:before="120"/>
    </w:pPr>
  </w:style>
  <w:style w:type="character" w:styleId="FootnoteReference">
    <w:name w:val="footnote reference"/>
    <w:basedOn w:val="DefaultParagraphFont"/>
    <w:rsid w:val="00E95E9B"/>
    <w:rPr>
      <w:vertAlign w:val="superscript"/>
    </w:rPr>
  </w:style>
  <w:style w:type="paragraph" w:styleId="FootnoteText">
    <w:name w:val="footnote text"/>
    <w:basedOn w:val="Normal"/>
    <w:link w:val="FootnoteTextChar"/>
    <w:rsid w:val="00E95E9B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95E9B"/>
    <w:rPr>
      <w:rFonts w:ascii="Book Antiqua" w:eastAsia="Times New Roman" w:hAnsi="Book Antiqua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95E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44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983FE8E9</Template>
  <TotalTime>210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Lucy</dc:creator>
  <cp:keywords/>
  <dc:description/>
  <cp:lastModifiedBy>Duncan Loydell</cp:lastModifiedBy>
  <cp:revision>35</cp:revision>
  <dcterms:created xsi:type="dcterms:W3CDTF">2019-04-25T01:29:00Z</dcterms:created>
  <dcterms:modified xsi:type="dcterms:W3CDTF">2019-05-15T09:05:00Z</dcterms:modified>
</cp:coreProperties>
</file>