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83276" w14:textId="77777777" w:rsidR="008420C9" w:rsidRDefault="004409D7">
      <w:pPr>
        <w:pStyle w:val="BodyText"/>
        <w:ind w:left="3853"/>
        <w:rPr>
          <w:sz w:val="20"/>
        </w:rPr>
      </w:pPr>
      <w:bookmarkStart w:id="0" w:name="_GoBack"/>
      <w:bookmarkEnd w:id="0"/>
      <w:r>
        <w:rPr>
          <w:noProof/>
          <w:sz w:val="20"/>
          <w:lang w:val="en-AU" w:eastAsia="en-AU"/>
        </w:rPr>
        <w:drawing>
          <wp:inline distT="0" distB="0" distL="0" distR="0" wp14:anchorId="368FEAAF" wp14:editId="4A2B19E9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C9C9" w14:textId="77777777" w:rsidR="008420C9" w:rsidRDefault="008420C9">
      <w:pPr>
        <w:pStyle w:val="BodyText"/>
        <w:spacing w:before="7"/>
        <w:rPr>
          <w:sz w:val="13"/>
        </w:rPr>
      </w:pPr>
    </w:p>
    <w:p w14:paraId="4F6DF398" w14:textId="77777777"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14:paraId="4826E450" w14:textId="77777777"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18"/>
      </w:tblGrid>
      <w:tr w:rsidR="008420C9" w14:paraId="1A24251F" w14:textId="77777777" w:rsidTr="00CD35AE">
        <w:trPr>
          <w:trHeight w:val="244"/>
        </w:trPr>
        <w:tc>
          <w:tcPr>
            <w:tcW w:w="9319" w:type="dxa"/>
            <w:gridSpan w:val="2"/>
            <w:shd w:val="clear" w:color="auto" w:fill="E4E4E4"/>
          </w:tcPr>
          <w:p w14:paraId="17119F97" w14:textId="5FE30022"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1B117E">
              <w:rPr>
                <w:b/>
                <w:sz w:val="20"/>
              </w:rPr>
              <w:t xml:space="preserve"> </w:t>
            </w:r>
            <w:r w:rsidR="001B117E" w:rsidRPr="00D4732F">
              <w:rPr>
                <w:b/>
                <w:sz w:val="20"/>
              </w:rPr>
              <w:t>Pharmaceutical Benefits Scheme – increasing the safety net</w:t>
            </w:r>
          </w:p>
        </w:tc>
      </w:tr>
      <w:tr w:rsidR="008420C9" w14:paraId="2104BDA5" w14:textId="77777777" w:rsidTr="00CD35AE">
        <w:trPr>
          <w:trHeight w:val="496"/>
        </w:trPr>
        <w:tc>
          <w:tcPr>
            <w:tcW w:w="4001" w:type="dxa"/>
          </w:tcPr>
          <w:p w14:paraId="77B0D1C0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318" w:type="dxa"/>
          </w:tcPr>
          <w:p w14:paraId="556BBB7E" w14:textId="59B7E4F2" w:rsidR="008420C9" w:rsidRPr="00CD35AE" w:rsidRDefault="00D82115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COA033</w:t>
            </w:r>
          </w:p>
        </w:tc>
      </w:tr>
      <w:tr w:rsidR="008420C9" w14:paraId="61ADCC2B" w14:textId="77777777" w:rsidTr="00CD35AE">
        <w:trPr>
          <w:trHeight w:val="484"/>
        </w:trPr>
        <w:tc>
          <w:tcPr>
            <w:tcW w:w="4001" w:type="dxa"/>
          </w:tcPr>
          <w:p w14:paraId="4DEC39DC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318" w:type="dxa"/>
          </w:tcPr>
          <w:p w14:paraId="426F5AC2" w14:textId="77777777" w:rsidR="008420C9" w:rsidRDefault="00633AFE" w:rsidP="00A66B29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 xml:space="preserve">This costing outlines the impact of </w:t>
            </w:r>
            <w:r w:rsidR="00343A58" w:rsidRPr="00CD35AE">
              <w:rPr>
                <w:rFonts w:cs="Times New Roman"/>
                <w:sz w:val="20"/>
                <w:szCs w:val="20"/>
              </w:rPr>
              <w:t>lower</w:t>
            </w:r>
            <w:r w:rsidR="003E581E" w:rsidRPr="00CD35AE">
              <w:rPr>
                <w:rFonts w:cs="Times New Roman"/>
                <w:sz w:val="20"/>
                <w:szCs w:val="20"/>
              </w:rPr>
              <w:t>ing</w:t>
            </w:r>
            <w:r w:rsidR="00343A58" w:rsidRPr="00CD35AE">
              <w:rPr>
                <w:rFonts w:cs="Times New Roman"/>
                <w:sz w:val="20"/>
                <w:szCs w:val="20"/>
              </w:rPr>
              <w:t xml:space="preserve"> the Pharmaceutical Benefits Scheme (PBS) Safety Net threshold from 1 January 2020 by</w:t>
            </w:r>
            <w:r w:rsidR="00202FB4" w:rsidRPr="00CD35AE">
              <w:rPr>
                <w:rFonts w:cs="Times New Roman"/>
                <w:sz w:val="20"/>
                <w:szCs w:val="20"/>
              </w:rPr>
              <w:t xml:space="preserve"> the equivalent of</w:t>
            </w:r>
            <w:r w:rsidR="00343A58" w:rsidRPr="00CD35AE">
              <w:rPr>
                <w:rFonts w:cs="Times New Roman"/>
                <w:sz w:val="20"/>
                <w:szCs w:val="20"/>
              </w:rPr>
              <w:t xml:space="preserve"> 12</w:t>
            </w:r>
            <w:r w:rsidR="00F62D04" w:rsidRPr="00CD35AE">
              <w:rPr>
                <w:rFonts w:cs="Times New Roman"/>
                <w:sz w:val="20"/>
                <w:szCs w:val="20"/>
              </w:rPr>
              <w:t xml:space="preserve"> full-</w:t>
            </w:r>
            <w:r w:rsidR="00202FB4" w:rsidRPr="00CD35AE">
              <w:rPr>
                <w:rFonts w:cs="Times New Roman"/>
                <w:sz w:val="20"/>
                <w:szCs w:val="20"/>
              </w:rPr>
              <w:t xml:space="preserve">priced </w:t>
            </w:r>
            <w:r w:rsidR="00343A58" w:rsidRPr="00CD35AE">
              <w:rPr>
                <w:rFonts w:cs="Times New Roman"/>
                <w:sz w:val="20"/>
                <w:szCs w:val="20"/>
              </w:rPr>
              <w:t xml:space="preserve">scripts for concession </w:t>
            </w:r>
            <w:r w:rsidR="00CB5D7B" w:rsidRPr="00CD35AE">
              <w:rPr>
                <w:rFonts w:cs="Times New Roman"/>
                <w:sz w:val="20"/>
                <w:szCs w:val="20"/>
              </w:rPr>
              <w:t>card</w:t>
            </w:r>
            <w:r w:rsidR="00343A58" w:rsidRPr="00CD35AE">
              <w:rPr>
                <w:rFonts w:cs="Times New Roman"/>
                <w:sz w:val="20"/>
                <w:szCs w:val="20"/>
              </w:rPr>
              <w:t>holders and the equivalent of</w:t>
            </w:r>
            <w:r w:rsidR="00131F1E" w:rsidRPr="00CD35AE">
              <w:rPr>
                <w:rFonts w:cs="Times New Roman"/>
                <w:sz w:val="20"/>
                <w:szCs w:val="20"/>
              </w:rPr>
              <w:t xml:space="preserve"> approximately</w:t>
            </w:r>
            <w:r w:rsidR="00343A58" w:rsidRPr="00CD35AE">
              <w:rPr>
                <w:rFonts w:cs="Times New Roman"/>
                <w:sz w:val="20"/>
                <w:szCs w:val="20"/>
              </w:rPr>
              <w:t xml:space="preserve"> </w:t>
            </w:r>
            <w:r w:rsidR="00A66B29" w:rsidRPr="00CD35AE">
              <w:rPr>
                <w:rFonts w:cs="Times New Roman"/>
                <w:sz w:val="20"/>
                <w:szCs w:val="20"/>
              </w:rPr>
              <w:t>two</w:t>
            </w:r>
            <w:r w:rsidR="00343A58" w:rsidRPr="00CD35AE">
              <w:rPr>
                <w:rFonts w:cs="Times New Roman"/>
                <w:sz w:val="20"/>
                <w:szCs w:val="20"/>
              </w:rPr>
              <w:t xml:space="preserve"> full-priced scripts </w:t>
            </w:r>
            <w:r w:rsidR="00CB5D7B" w:rsidRPr="00CD35AE">
              <w:rPr>
                <w:rFonts w:cs="Times New Roman"/>
                <w:sz w:val="20"/>
                <w:szCs w:val="20"/>
              </w:rPr>
              <w:t>for non-concession card</w:t>
            </w:r>
            <w:r w:rsidR="00343A58" w:rsidRPr="00CD35AE">
              <w:rPr>
                <w:rFonts w:cs="Times New Roman"/>
                <w:sz w:val="20"/>
                <w:szCs w:val="20"/>
              </w:rPr>
              <w:t>holders</w:t>
            </w:r>
            <w:r w:rsidR="00F62D04" w:rsidRPr="00CD35AE">
              <w:rPr>
                <w:rFonts w:cs="Times New Roman"/>
                <w:sz w:val="20"/>
                <w:szCs w:val="20"/>
              </w:rPr>
              <w:t xml:space="preserve"> (general patients)</w:t>
            </w:r>
            <w:r w:rsidR="00343A58" w:rsidRPr="00CD35AE">
              <w:rPr>
                <w:rFonts w:cs="Times New Roman"/>
                <w:sz w:val="20"/>
                <w:szCs w:val="20"/>
              </w:rPr>
              <w:t>.</w:t>
            </w:r>
          </w:p>
          <w:p w14:paraId="7A747B5E" w14:textId="1CF37229" w:rsidR="002A70A9" w:rsidRPr="00CD35AE" w:rsidRDefault="002A70A9" w:rsidP="00A66B2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8420C9" w14:paraId="6A9BBC97" w14:textId="77777777" w:rsidTr="00CD35AE">
        <w:trPr>
          <w:trHeight w:val="486"/>
        </w:trPr>
        <w:tc>
          <w:tcPr>
            <w:tcW w:w="4001" w:type="dxa"/>
          </w:tcPr>
          <w:p w14:paraId="637E73BF" w14:textId="77777777"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18" w:type="dxa"/>
          </w:tcPr>
          <w:p w14:paraId="052B5655" w14:textId="77777777" w:rsidR="008420C9" w:rsidRPr="00CD35AE" w:rsidRDefault="00535683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Ongoing</w:t>
            </w:r>
          </w:p>
        </w:tc>
      </w:tr>
      <w:tr w:rsidR="008420C9" w14:paraId="771341FA" w14:textId="77777777" w:rsidTr="00CD35AE">
        <w:trPr>
          <w:trHeight w:val="480"/>
        </w:trPr>
        <w:tc>
          <w:tcPr>
            <w:tcW w:w="4001" w:type="dxa"/>
          </w:tcPr>
          <w:p w14:paraId="739ED228" w14:textId="77777777"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318" w:type="dxa"/>
          </w:tcPr>
          <w:p w14:paraId="2EF1388D" w14:textId="77777777" w:rsidR="008420C9" w:rsidRPr="00CD35AE" w:rsidRDefault="00535683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Prime Minister</w:t>
            </w:r>
          </w:p>
        </w:tc>
      </w:tr>
      <w:tr w:rsidR="008420C9" w14:paraId="08B0AC6D" w14:textId="77777777" w:rsidTr="00CD35AE">
        <w:trPr>
          <w:trHeight w:val="484"/>
        </w:trPr>
        <w:tc>
          <w:tcPr>
            <w:tcW w:w="4001" w:type="dxa"/>
          </w:tcPr>
          <w:p w14:paraId="38D6FBF9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318" w:type="dxa"/>
          </w:tcPr>
          <w:p w14:paraId="2A8D4584" w14:textId="77777777" w:rsidR="008420C9" w:rsidRPr="00CD35AE" w:rsidRDefault="00535683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9 May 2019</w:t>
            </w:r>
          </w:p>
        </w:tc>
      </w:tr>
      <w:tr w:rsidR="008420C9" w14:paraId="5649B054" w14:textId="77777777" w:rsidTr="00CD35AE">
        <w:trPr>
          <w:trHeight w:val="486"/>
        </w:trPr>
        <w:tc>
          <w:tcPr>
            <w:tcW w:w="4001" w:type="dxa"/>
          </w:tcPr>
          <w:p w14:paraId="7CD39268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318" w:type="dxa"/>
          </w:tcPr>
          <w:p w14:paraId="5BA4A48E" w14:textId="77777777" w:rsidR="008420C9" w:rsidRPr="00CD35AE" w:rsidRDefault="00535683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2 May 2019</w:t>
            </w:r>
          </w:p>
        </w:tc>
      </w:tr>
      <w:tr w:rsidR="008420C9" w14:paraId="5FECA0F0" w14:textId="77777777" w:rsidTr="00CD35AE">
        <w:trPr>
          <w:trHeight w:val="242"/>
        </w:trPr>
        <w:tc>
          <w:tcPr>
            <w:tcW w:w="4001" w:type="dxa"/>
          </w:tcPr>
          <w:p w14:paraId="63FE7110" w14:textId="77777777" w:rsidR="008420C9" w:rsidRPr="000930B9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 w:rsidRPr="000930B9">
              <w:rPr>
                <w:b/>
                <w:sz w:val="20"/>
              </w:rPr>
              <w:t>Date costing completed:</w:t>
            </w:r>
          </w:p>
        </w:tc>
        <w:tc>
          <w:tcPr>
            <w:tcW w:w="5318" w:type="dxa"/>
          </w:tcPr>
          <w:p w14:paraId="048F13CA" w14:textId="152E9DB3" w:rsidR="008420C9" w:rsidRPr="000930B9" w:rsidRDefault="000930B9" w:rsidP="004C13A1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E10D0B">
              <w:rPr>
                <w:rFonts w:cs="Times New Roman"/>
                <w:sz w:val="20"/>
                <w:szCs w:val="20"/>
              </w:rPr>
              <w:t>15</w:t>
            </w:r>
            <w:r w:rsidR="004C13A1" w:rsidRPr="000930B9">
              <w:rPr>
                <w:rFonts w:cs="Times New Roman"/>
                <w:sz w:val="20"/>
                <w:szCs w:val="20"/>
              </w:rPr>
              <w:t xml:space="preserve"> May 2019</w:t>
            </w:r>
          </w:p>
          <w:p w14:paraId="334457E4" w14:textId="15193EE8" w:rsidR="00C0326C" w:rsidRPr="000930B9" w:rsidRDefault="00C0326C" w:rsidP="004C13A1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8420C9" w14:paraId="688C4563" w14:textId="77777777" w:rsidTr="00CD35AE">
        <w:trPr>
          <w:trHeight w:val="729"/>
        </w:trPr>
        <w:tc>
          <w:tcPr>
            <w:tcW w:w="4001" w:type="dxa"/>
          </w:tcPr>
          <w:p w14:paraId="13E71299" w14:textId="77777777" w:rsidR="008420C9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18" w:type="dxa"/>
          </w:tcPr>
          <w:p w14:paraId="22C13147" w14:textId="77777777" w:rsidR="008420C9" w:rsidRPr="00CD35AE" w:rsidRDefault="009D6DEA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Not applicable</w:t>
            </w:r>
          </w:p>
        </w:tc>
      </w:tr>
      <w:tr w:rsidR="008420C9" w14:paraId="2FE15292" w14:textId="77777777" w:rsidTr="00CD35AE">
        <w:trPr>
          <w:trHeight w:val="729"/>
        </w:trPr>
        <w:tc>
          <w:tcPr>
            <w:tcW w:w="4001" w:type="dxa"/>
          </w:tcPr>
          <w:p w14:paraId="684EC393" w14:textId="77777777" w:rsidR="008420C9" w:rsidRDefault="004409D7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18" w:type="dxa"/>
          </w:tcPr>
          <w:p w14:paraId="30B1CBB9" w14:textId="77777777" w:rsidR="008420C9" w:rsidRPr="00CD35AE" w:rsidRDefault="009D6DEA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CD35AE">
              <w:rPr>
                <w:rFonts w:cs="Times New Roman"/>
                <w:sz w:val="20"/>
                <w:szCs w:val="20"/>
              </w:rPr>
              <w:t>Not applicable</w:t>
            </w:r>
          </w:p>
        </w:tc>
      </w:tr>
    </w:tbl>
    <w:p w14:paraId="72298720" w14:textId="77777777"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14:paraId="3E31B988" w14:textId="77777777"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14:paraId="14A76742" w14:textId="77777777" w:rsidR="008420C9" w:rsidRDefault="008420C9">
      <w:pPr>
        <w:pStyle w:val="BodyText"/>
        <w:spacing w:before="8"/>
      </w:pPr>
    </w:p>
    <w:p w14:paraId="74298E75" w14:textId="57EC5083" w:rsidR="008420C9" w:rsidRDefault="004409D7">
      <w:pPr>
        <w:pStyle w:val="Heading2"/>
        <w:spacing w:after="4"/>
        <w:rPr>
          <w:position w:val="8"/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p w14:paraId="07556007" w14:textId="77777777" w:rsidR="00C0326C" w:rsidRDefault="00C0326C" w:rsidP="00C0326C">
      <w:pPr>
        <w:pStyle w:val="Heading2"/>
        <w:spacing w:after="4"/>
        <w:rPr>
          <w:sz w:val="14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C0326C" w14:paraId="062A3DFD" w14:textId="77777777" w:rsidTr="00535516">
        <w:trPr>
          <w:trHeight w:val="242"/>
        </w:trPr>
        <w:tc>
          <w:tcPr>
            <w:tcW w:w="1651" w:type="dxa"/>
            <w:shd w:val="clear" w:color="auto" w:fill="E4E4E4"/>
          </w:tcPr>
          <w:p w14:paraId="7151A290" w14:textId="77777777" w:rsidR="00C0326C" w:rsidRDefault="00C0326C" w:rsidP="00535516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14:paraId="63D66D17" w14:textId="77777777" w:rsidR="00C0326C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14:paraId="3423F215" w14:textId="77777777" w:rsidR="00C0326C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14:paraId="620AEA97" w14:textId="77777777" w:rsidR="00C0326C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14:paraId="57D69053" w14:textId="77777777" w:rsidR="00C0326C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  <w:tc>
          <w:tcPr>
            <w:tcW w:w="1538" w:type="dxa"/>
            <w:shd w:val="clear" w:color="auto" w:fill="E4E4E4"/>
          </w:tcPr>
          <w:p w14:paraId="5D6BA873" w14:textId="77777777" w:rsidR="00C0326C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2023-24</w:t>
            </w:r>
          </w:p>
        </w:tc>
      </w:tr>
      <w:tr w:rsidR="00C0326C" w14:paraId="21FC2C39" w14:textId="77777777" w:rsidTr="00535516">
        <w:trPr>
          <w:trHeight w:val="436"/>
        </w:trPr>
        <w:tc>
          <w:tcPr>
            <w:tcW w:w="1651" w:type="dxa"/>
          </w:tcPr>
          <w:p w14:paraId="1D98D034" w14:textId="77777777" w:rsidR="00C0326C" w:rsidRDefault="00C0326C" w:rsidP="00C0326C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</w:tcPr>
          <w:p w14:paraId="0A7824B3" w14:textId="3E7BBB19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0.0</w:t>
            </w:r>
          </w:p>
        </w:tc>
        <w:tc>
          <w:tcPr>
            <w:tcW w:w="1538" w:type="dxa"/>
          </w:tcPr>
          <w:p w14:paraId="3E249748" w14:textId="50AF206D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-6.0</w:t>
            </w:r>
          </w:p>
        </w:tc>
        <w:tc>
          <w:tcPr>
            <w:tcW w:w="1538" w:type="dxa"/>
          </w:tcPr>
          <w:p w14:paraId="1CCC7E19" w14:textId="51192798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-104.3</w:t>
            </w:r>
          </w:p>
        </w:tc>
        <w:tc>
          <w:tcPr>
            <w:tcW w:w="1538" w:type="dxa"/>
          </w:tcPr>
          <w:p w14:paraId="6C0E4FDC" w14:textId="1C0343FF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-107.5</w:t>
            </w:r>
          </w:p>
        </w:tc>
        <w:tc>
          <w:tcPr>
            <w:tcW w:w="1538" w:type="dxa"/>
          </w:tcPr>
          <w:p w14:paraId="7C1A8F66" w14:textId="7415905F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-111.0</w:t>
            </w:r>
          </w:p>
        </w:tc>
      </w:tr>
      <w:tr w:rsidR="00C0326C" w14:paraId="45C08336" w14:textId="77777777" w:rsidTr="00535516">
        <w:trPr>
          <w:trHeight w:val="431"/>
        </w:trPr>
        <w:tc>
          <w:tcPr>
            <w:tcW w:w="1651" w:type="dxa"/>
          </w:tcPr>
          <w:p w14:paraId="62395D66" w14:textId="77777777" w:rsidR="00C0326C" w:rsidRDefault="00C0326C" w:rsidP="00C0326C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</w:tcPr>
          <w:p w14:paraId="4DC0F1F6" w14:textId="66E60801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0.0</w:t>
            </w:r>
          </w:p>
        </w:tc>
        <w:tc>
          <w:tcPr>
            <w:tcW w:w="1538" w:type="dxa"/>
          </w:tcPr>
          <w:p w14:paraId="7E0F5762" w14:textId="75F2864C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-6.4</w:t>
            </w:r>
          </w:p>
        </w:tc>
        <w:tc>
          <w:tcPr>
            <w:tcW w:w="1538" w:type="dxa"/>
          </w:tcPr>
          <w:p w14:paraId="2D9855D2" w14:textId="3338B424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-109.8</w:t>
            </w:r>
          </w:p>
        </w:tc>
        <w:tc>
          <w:tcPr>
            <w:tcW w:w="1538" w:type="dxa"/>
          </w:tcPr>
          <w:p w14:paraId="48211FA6" w14:textId="029C8F05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-107.7</w:t>
            </w:r>
          </w:p>
        </w:tc>
        <w:tc>
          <w:tcPr>
            <w:tcW w:w="1538" w:type="dxa"/>
          </w:tcPr>
          <w:p w14:paraId="39C7EC49" w14:textId="3EBD7D41" w:rsidR="00C0326C" w:rsidRPr="00C0326C" w:rsidRDefault="00C0326C" w:rsidP="00C0326C">
            <w:pPr>
              <w:pStyle w:val="TableParagraph"/>
              <w:ind w:right="227"/>
              <w:jc w:val="center"/>
              <w:rPr>
                <w:rFonts w:ascii="Times New Roman"/>
                <w:sz w:val="20"/>
              </w:rPr>
            </w:pPr>
            <w:r w:rsidRPr="00CD35AE">
              <w:rPr>
                <w:sz w:val="20"/>
              </w:rPr>
              <w:t>-111.2</w:t>
            </w:r>
          </w:p>
        </w:tc>
      </w:tr>
    </w:tbl>
    <w:p w14:paraId="1FD99ADE" w14:textId="7A16FD74" w:rsidR="00C0326C" w:rsidRDefault="00C0326C">
      <w:pPr>
        <w:pStyle w:val="Heading2"/>
        <w:spacing w:after="4"/>
        <w:rPr>
          <w:sz w:val="14"/>
        </w:rPr>
      </w:pPr>
    </w:p>
    <w:p w14:paraId="2F2BD8B2" w14:textId="77777777"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14:paraId="36397E35" w14:textId="2D22E9FA" w:rsidR="002A70A9" w:rsidRDefault="002A70A9" w:rsidP="008B71D3">
      <w:pPr>
        <w:rPr>
          <w:rFonts w:ascii="Arial"/>
          <w:sz w:val="15"/>
        </w:rPr>
      </w:pPr>
    </w:p>
    <w:p w14:paraId="2F76F01E" w14:textId="00E66FA4" w:rsidR="00CD35AE" w:rsidRDefault="00CD35AE" w:rsidP="008B71D3">
      <w:pPr>
        <w:rPr>
          <w:rFonts w:ascii="Arial"/>
          <w:sz w:val="15"/>
        </w:rPr>
      </w:pPr>
    </w:p>
    <w:p w14:paraId="235597A9" w14:textId="77777777" w:rsidR="00CD35AE" w:rsidRDefault="00CD35AE" w:rsidP="008B71D3">
      <w:pPr>
        <w:rPr>
          <w:rFonts w:ascii="Arial"/>
          <w:sz w:val="15"/>
        </w:rPr>
      </w:pPr>
    </w:p>
    <w:p w14:paraId="0EE457A7" w14:textId="69035CEF" w:rsidR="002A70A9" w:rsidRDefault="002A70A9" w:rsidP="008B71D3">
      <w:pPr>
        <w:rPr>
          <w:rFonts w:ascii="Arial"/>
          <w:sz w:val="15"/>
        </w:rPr>
      </w:pPr>
    </w:p>
    <w:p w14:paraId="411130AA" w14:textId="7AD1CC6F" w:rsidR="002A70A9" w:rsidRDefault="002A70A9" w:rsidP="008B71D3">
      <w:pPr>
        <w:rPr>
          <w:rFonts w:ascii="Arial"/>
          <w:sz w:val="15"/>
        </w:rPr>
      </w:pPr>
    </w:p>
    <w:p w14:paraId="5D9CB7C8" w14:textId="60435E6D" w:rsidR="00C0326C" w:rsidRDefault="00C0326C" w:rsidP="008B71D3">
      <w:pPr>
        <w:rPr>
          <w:rFonts w:ascii="Arial"/>
          <w:sz w:val="15"/>
        </w:rPr>
      </w:pPr>
    </w:p>
    <w:p w14:paraId="138A7595" w14:textId="41CDA3E1" w:rsidR="00C0326C" w:rsidRDefault="00C0326C" w:rsidP="008B71D3">
      <w:pPr>
        <w:rPr>
          <w:rFonts w:ascii="Arial"/>
          <w:sz w:val="15"/>
        </w:rPr>
      </w:pPr>
    </w:p>
    <w:p w14:paraId="0914C4E9" w14:textId="7CD2CDC5" w:rsidR="00C0326C" w:rsidRDefault="00C0326C" w:rsidP="008B71D3">
      <w:pPr>
        <w:rPr>
          <w:rFonts w:ascii="Arial"/>
          <w:sz w:val="15"/>
        </w:rPr>
      </w:pPr>
    </w:p>
    <w:p w14:paraId="3E2D086F" w14:textId="60A96C8E" w:rsidR="00C0326C" w:rsidRDefault="00C0326C" w:rsidP="008B71D3">
      <w:pPr>
        <w:rPr>
          <w:rFonts w:ascii="Arial"/>
          <w:sz w:val="15"/>
        </w:rPr>
      </w:pPr>
    </w:p>
    <w:p w14:paraId="5EB66272" w14:textId="15EB879C" w:rsidR="00C0326C" w:rsidRDefault="00C0326C" w:rsidP="008B71D3">
      <w:pPr>
        <w:rPr>
          <w:rFonts w:ascii="Arial"/>
          <w:sz w:val="15"/>
        </w:rPr>
      </w:pPr>
    </w:p>
    <w:p w14:paraId="07BE1722" w14:textId="228A3451" w:rsidR="00C0326C" w:rsidRDefault="00C0326C" w:rsidP="008B71D3">
      <w:pPr>
        <w:rPr>
          <w:rFonts w:ascii="Arial"/>
          <w:sz w:val="15"/>
        </w:rPr>
      </w:pPr>
    </w:p>
    <w:p w14:paraId="2B05CD69" w14:textId="77777777" w:rsidR="00C0326C" w:rsidRDefault="00C0326C" w:rsidP="008B71D3">
      <w:pPr>
        <w:rPr>
          <w:rFonts w:ascii="Arial"/>
          <w:sz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8420C9" w14:paraId="441EE4FF" w14:textId="77777777" w:rsidTr="00CD35AE">
        <w:trPr>
          <w:trHeight w:val="1094"/>
        </w:trPr>
        <w:tc>
          <w:tcPr>
            <w:tcW w:w="9610" w:type="dxa"/>
          </w:tcPr>
          <w:p w14:paraId="505DE011" w14:textId="77777777" w:rsidR="008420C9" w:rsidRDefault="004409D7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14:paraId="3C69DCA5" w14:textId="77777777" w:rsidR="008420C9" w:rsidRDefault="008420C9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14:paraId="44427212" w14:textId="3117BC92" w:rsidR="008420C9" w:rsidRDefault="0053568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Not applicable</w:t>
            </w:r>
            <w:r w:rsidR="00EF07CA">
              <w:rPr>
                <w:sz w:val="20"/>
              </w:rPr>
              <w:t>.</w:t>
            </w:r>
          </w:p>
        </w:tc>
      </w:tr>
      <w:tr w:rsidR="008420C9" w14:paraId="7598A566" w14:textId="77777777" w:rsidTr="00CD35AE">
        <w:trPr>
          <w:trHeight w:val="607"/>
        </w:trPr>
        <w:tc>
          <w:tcPr>
            <w:tcW w:w="9610" w:type="dxa"/>
          </w:tcPr>
          <w:p w14:paraId="7D44E3B0" w14:textId="77777777" w:rsidR="008420C9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  <w:p w14:paraId="7043D6E9" w14:textId="058FEB5C" w:rsidR="00C0326C" w:rsidRDefault="00C0326C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</w:p>
        </w:tc>
      </w:tr>
    </w:tbl>
    <w:p w14:paraId="7C0E2486" w14:textId="1299CB91" w:rsidR="008420C9" w:rsidRDefault="00C0326C" w:rsidP="00CD35AE">
      <w:pPr>
        <w:pStyle w:val="TableParagraph"/>
        <w:ind w:left="284"/>
        <w:rPr>
          <w:sz w:val="19"/>
        </w:rPr>
      </w:pPr>
      <w:r>
        <w:rPr>
          <w:sz w:val="19"/>
        </w:rPr>
        <w:t xml:space="preserve">The table below provides the separate identification of the impacts on the Department of Health and Department of Veterans’ Affairs. </w:t>
      </w:r>
    </w:p>
    <w:p w14:paraId="574CAA90" w14:textId="77777777" w:rsidR="00C0326C" w:rsidRDefault="00C0326C" w:rsidP="00CD35AE">
      <w:pPr>
        <w:spacing w:before="90"/>
        <w:ind w:left="303"/>
        <w:rPr>
          <w:sz w:val="14"/>
        </w:rPr>
      </w:pPr>
      <w:bookmarkStart w:id="1" w:name="_bookmark0"/>
      <w:bookmarkEnd w:id="1"/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1134"/>
        <w:gridCol w:w="1134"/>
        <w:gridCol w:w="1134"/>
        <w:gridCol w:w="1134"/>
        <w:gridCol w:w="1147"/>
      </w:tblGrid>
      <w:tr w:rsidR="00C0326C" w14:paraId="0609EC66" w14:textId="77777777" w:rsidTr="00535516">
        <w:trPr>
          <w:trHeight w:val="242"/>
        </w:trPr>
        <w:tc>
          <w:tcPr>
            <w:tcW w:w="3658" w:type="dxa"/>
            <w:shd w:val="clear" w:color="auto" w:fill="E4E4E4"/>
          </w:tcPr>
          <w:p w14:paraId="33382B95" w14:textId="77777777" w:rsidR="00C0326C" w:rsidRDefault="00C0326C" w:rsidP="00535516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134" w:type="dxa"/>
            <w:shd w:val="clear" w:color="auto" w:fill="E4E4E4"/>
          </w:tcPr>
          <w:p w14:paraId="0CECC1BB" w14:textId="77777777" w:rsidR="00C0326C" w:rsidRPr="002A70A9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 w:rsidRPr="002A70A9">
              <w:rPr>
                <w:sz w:val="20"/>
              </w:rPr>
              <w:t>2018-19</w:t>
            </w:r>
          </w:p>
        </w:tc>
        <w:tc>
          <w:tcPr>
            <w:tcW w:w="1134" w:type="dxa"/>
            <w:shd w:val="clear" w:color="auto" w:fill="E4E4E4"/>
          </w:tcPr>
          <w:p w14:paraId="71D0EB29" w14:textId="77777777" w:rsidR="00C0326C" w:rsidRPr="002A70A9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 w:rsidRPr="002A70A9">
              <w:rPr>
                <w:sz w:val="20"/>
              </w:rPr>
              <w:t>2019-20</w:t>
            </w:r>
          </w:p>
        </w:tc>
        <w:tc>
          <w:tcPr>
            <w:tcW w:w="1134" w:type="dxa"/>
            <w:shd w:val="clear" w:color="auto" w:fill="E4E4E4"/>
          </w:tcPr>
          <w:p w14:paraId="76DA87FD" w14:textId="77777777" w:rsidR="00C0326C" w:rsidRPr="002A70A9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 w:rsidRPr="002A70A9">
              <w:rPr>
                <w:sz w:val="20"/>
              </w:rPr>
              <w:t>2020-21</w:t>
            </w:r>
          </w:p>
        </w:tc>
        <w:tc>
          <w:tcPr>
            <w:tcW w:w="1134" w:type="dxa"/>
            <w:shd w:val="clear" w:color="auto" w:fill="E4E4E4"/>
          </w:tcPr>
          <w:p w14:paraId="389FFE1B" w14:textId="77777777" w:rsidR="00C0326C" w:rsidRPr="002A70A9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 w:rsidRPr="002A70A9">
              <w:rPr>
                <w:sz w:val="20"/>
              </w:rPr>
              <w:t>2021-22</w:t>
            </w:r>
          </w:p>
        </w:tc>
        <w:tc>
          <w:tcPr>
            <w:tcW w:w="1147" w:type="dxa"/>
            <w:shd w:val="clear" w:color="auto" w:fill="E4E4E4"/>
          </w:tcPr>
          <w:p w14:paraId="6CE41BC3" w14:textId="77777777" w:rsidR="00C0326C" w:rsidRPr="002A70A9" w:rsidRDefault="00C0326C" w:rsidP="00535516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 w:rsidRPr="002A70A9">
              <w:rPr>
                <w:sz w:val="20"/>
              </w:rPr>
              <w:t>2022-23</w:t>
            </w:r>
          </w:p>
        </w:tc>
      </w:tr>
      <w:tr w:rsidR="00C0326C" w14:paraId="7E4F7AFD" w14:textId="77777777" w:rsidTr="00535516">
        <w:trPr>
          <w:trHeight w:val="436"/>
        </w:trPr>
        <w:tc>
          <w:tcPr>
            <w:tcW w:w="3658" w:type="dxa"/>
          </w:tcPr>
          <w:p w14:paraId="45BEAF8A" w14:textId="77777777" w:rsidR="00C0326C" w:rsidRPr="00AF07AB" w:rsidRDefault="00C0326C" w:rsidP="00535516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 w:rsidRPr="00AF07AB">
              <w:rPr>
                <w:sz w:val="18"/>
              </w:rPr>
              <w:t>Health – Underlying Cash Balance ($m)</w:t>
            </w:r>
          </w:p>
        </w:tc>
        <w:tc>
          <w:tcPr>
            <w:tcW w:w="1134" w:type="dxa"/>
          </w:tcPr>
          <w:p w14:paraId="3F611A99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0.0</w:t>
            </w:r>
          </w:p>
        </w:tc>
        <w:tc>
          <w:tcPr>
            <w:tcW w:w="1134" w:type="dxa"/>
          </w:tcPr>
          <w:p w14:paraId="0B4634C7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-5.8</w:t>
            </w:r>
          </w:p>
        </w:tc>
        <w:tc>
          <w:tcPr>
            <w:tcW w:w="1134" w:type="dxa"/>
          </w:tcPr>
          <w:p w14:paraId="1F637DED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-101.2</w:t>
            </w:r>
          </w:p>
        </w:tc>
        <w:tc>
          <w:tcPr>
            <w:tcW w:w="1134" w:type="dxa"/>
          </w:tcPr>
          <w:p w14:paraId="46E2B973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-104.4</w:t>
            </w:r>
          </w:p>
        </w:tc>
        <w:tc>
          <w:tcPr>
            <w:tcW w:w="1147" w:type="dxa"/>
          </w:tcPr>
          <w:p w14:paraId="02F14E24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-108.0</w:t>
            </w:r>
          </w:p>
        </w:tc>
      </w:tr>
      <w:tr w:rsidR="00C0326C" w14:paraId="05C4B17A" w14:textId="77777777" w:rsidTr="00535516">
        <w:trPr>
          <w:trHeight w:val="436"/>
        </w:trPr>
        <w:tc>
          <w:tcPr>
            <w:tcW w:w="3658" w:type="dxa"/>
          </w:tcPr>
          <w:p w14:paraId="4A2E39CB" w14:textId="77777777" w:rsidR="00C0326C" w:rsidRPr="00AF07AB" w:rsidRDefault="00C0326C" w:rsidP="00535516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 w:rsidRPr="00AF07AB">
              <w:rPr>
                <w:sz w:val="18"/>
              </w:rPr>
              <w:t>Department of Veterans’ Affairs – Underlying Cash Balance ($m)</w:t>
            </w:r>
          </w:p>
        </w:tc>
        <w:tc>
          <w:tcPr>
            <w:tcW w:w="1134" w:type="dxa"/>
          </w:tcPr>
          <w:p w14:paraId="6A6BF14B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0.0</w:t>
            </w:r>
          </w:p>
        </w:tc>
        <w:tc>
          <w:tcPr>
            <w:tcW w:w="1134" w:type="dxa"/>
          </w:tcPr>
          <w:p w14:paraId="4A14AE33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-0.2</w:t>
            </w:r>
          </w:p>
        </w:tc>
        <w:tc>
          <w:tcPr>
            <w:tcW w:w="1134" w:type="dxa"/>
          </w:tcPr>
          <w:p w14:paraId="166BC035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-3.1</w:t>
            </w:r>
          </w:p>
        </w:tc>
        <w:tc>
          <w:tcPr>
            <w:tcW w:w="1134" w:type="dxa"/>
          </w:tcPr>
          <w:p w14:paraId="3EB97763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-3.1</w:t>
            </w:r>
          </w:p>
        </w:tc>
        <w:tc>
          <w:tcPr>
            <w:tcW w:w="1147" w:type="dxa"/>
          </w:tcPr>
          <w:p w14:paraId="6C25EB67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-3.0</w:t>
            </w:r>
          </w:p>
        </w:tc>
      </w:tr>
      <w:tr w:rsidR="00C0326C" w14:paraId="3CAFEEAC" w14:textId="77777777" w:rsidTr="00535516">
        <w:trPr>
          <w:trHeight w:val="436"/>
        </w:trPr>
        <w:tc>
          <w:tcPr>
            <w:tcW w:w="3658" w:type="dxa"/>
          </w:tcPr>
          <w:p w14:paraId="65D94DE4" w14:textId="77777777" w:rsidR="00C0326C" w:rsidRPr="00535516" w:rsidRDefault="00C0326C" w:rsidP="00535516">
            <w:pPr>
              <w:pStyle w:val="TableParagraph"/>
              <w:spacing w:before="8" w:line="218" w:lineRule="exact"/>
              <w:ind w:left="2" w:right="146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Total – Underlying Cash Balance ($m)</w:t>
            </w:r>
          </w:p>
        </w:tc>
        <w:tc>
          <w:tcPr>
            <w:tcW w:w="1134" w:type="dxa"/>
          </w:tcPr>
          <w:p w14:paraId="5C8E02FC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0.0</w:t>
            </w:r>
          </w:p>
        </w:tc>
        <w:tc>
          <w:tcPr>
            <w:tcW w:w="1134" w:type="dxa"/>
          </w:tcPr>
          <w:p w14:paraId="4F15719C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-6.0</w:t>
            </w:r>
          </w:p>
        </w:tc>
        <w:tc>
          <w:tcPr>
            <w:tcW w:w="1134" w:type="dxa"/>
          </w:tcPr>
          <w:p w14:paraId="04B45560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-104.3</w:t>
            </w:r>
          </w:p>
        </w:tc>
        <w:tc>
          <w:tcPr>
            <w:tcW w:w="1134" w:type="dxa"/>
          </w:tcPr>
          <w:p w14:paraId="153C0657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-107.5</w:t>
            </w:r>
          </w:p>
        </w:tc>
        <w:tc>
          <w:tcPr>
            <w:tcW w:w="1147" w:type="dxa"/>
          </w:tcPr>
          <w:p w14:paraId="3ACBEF81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-111.0</w:t>
            </w:r>
          </w:p>
        </w:tc>
      </w:tr>
      <w:tr w:rsidR="00C0326C" w14:paraId="59594AB4" w14:textId="77777777" w:rsidTr="00535516">
        <w:trPr>
          <w:trHeight w:val="436"/>
        </w:trPr>
        <w:tc>
          <w:tcPr>
            <w:tcW w:w="3658" w:type="dxa"/>
          </w:tcPr>
          <w:p w14:paraId="446408E9" w14:textId="77777777" w:rsidR="00C0326C" w:rsidRPr="00AF07AB" w:rsidRDefault="00C0326C" w:rsidP="00535516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 w:rsidRPr="00AF07AB">
              <w:rPr>
                <w:sz w:val="18"/>
              </w:rPr>
              <w:t>Health – Fiscal Balance ($m)</w:t>
            </w:r>
          </w:p>
        </w:tc>
        <w:tc>
          <w:tcPr>
            <w:tcW w:w="1134" w:type="dxa"/>
          </w:tcPr>
          <w:p w14:paraId="4CB6B6F9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0.0</w:t>
            </w:r>
          </w:p>
        </w:tc>
        <w:tc>
          <w:tcPr>
            <w:tcW w:w="1134" w:type="dxa"/>
          </w:tcPr>
          <w:p w14:paraId="1896509E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-6.2</w:t>
            </w:r>
          </w:p>
        </w:tc>
        <w:tc>
          <w:tcPr>
            <w:tcW w:w="1134" w:type="dxa"/>
          </w:tcPr>
          <w:p w14:paraId="599F6EED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-106.5</w:t>
            </w:r>
          </w:p>
        </w:tc>
        <w:tc>
          <w:tcPr>
            <w:tcW w:w="1134" w:type="dxa"/>
          </w:tcPr>
          <w:p w14:paraId="546F5669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-104.6</w:t>
            </w:r>
          </w:p>
        </w:tc>
        <w:tc>
          <w:tcPr>
            <w:tcW w:w="1147" w:type="dxa"/>
          </w:tcPr>
          <w:p w14:paraId="4E52CB97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-108.2</w:t>
            </w:r>
          </w:p>
        </w:tc>
      </w:tr>
      <w:tr w:rsidR="00C0326C" w14:paraId="20F62C8E" w14:textId="77777777" w:rsidTr="00535516">
        <w:trPr>
          <w:trHeight w:val="436"/>
        </w:trPr>
        <w:tc>
          <w:tcPr>
            <w:tcW w:w="3658" w:type="dxa"/>
          </w:tcPr>
          <w:p w14:paraId="5193B5FA" w14:textId="77777777" w:rsidR="00C0326C" w:rsidRPr="00AF07AB" w:rsidRDefault="00C0326C" w:rsidP="00535516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 w:rsidRPr="00AF07AB">
              <w:rPr>
                <w:sz w:val="18"/>
              </w:rPr>
              <w:t>Department of Veterans’ Affairs – Fiscal Balance ($m)</w:t>
            </w:r>
          </w:p>
        </w:tc>
        <w:tc>
          <w:tcPr>
            <w:tcW w:w="1134" w:type="dxa"/>
          </w:tcPr>
          <w:p w14:paraId="2AB928D0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0.0</w:t>
            </w:r>
          </w:p>
        </w:tc>
        <w:tc>
          <w:tcPr>
            <w:tcW w:w="1134" w:type="dxa"/>
          </w:tcPr>
          <w:p w14:paraId="1C5F8A1B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-0.2</w:t>
            </w:r>
          </w:p>
        </w:tc>
        <w:tc>
          <w:tcPr>
            <w:tcW w:w="1134" w:type="dxa"/>
          </w:tcPr>
          <w:p w14:paraId="1841FFC8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-3.3</w:t>
            </w:r>
          </w:p>
        </w:tc>
        <w:tc>
          <w:tcPr>
            <w:tcW w:w="1134" w:type="dxa"/>
          </w:tcPr>
          <w:p w14:paraId="36FE6A8E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-3.1</w:t>
            </w:r>
          </w:p>
        </w:tc>
        <w:tc>
          <w:tcPr>
            <w:tcW w:w="1147" w:type="dxa"/>
          </w:tcPr>
          <w:p w14:paraId="594AADB0" w14:textId="77777777" w:rsidR="00C0326C" w:rsidRPr="00535516" w:rsidRDefault="00C0326C" w:rsidP="00535516">
            <w:pPr>
              <w:pStyle w:val="TableParagraph"/>
              <w:jc w:val="center"/>
              <w:rPr>
                <w:sz w:val="18"/>
              </w:rPr>
            </w:pPr>
            <w:r w:rsidRPr="00535516">
              <w:rPr>
                <w:sz w:val="18"/>
              </w:rPr>
              <w:t>-3.0</w:t>
            </w:r>
          </w:p>
        </w:tc>
      </w:tr>
      <w:tr w:rsidR="00C0326C" w14:paraId="0BC1E82C" w14:textId="77777777" w:rsidTr="00535516">
        <w:trPr>
          <w:trHeight w:val="431"/>
        </w:trPr>
        <w:tc>
          <w:tcPr>
            <w:tcW w:w="3658" w:type="dxa"/>
          </w:tcPr>
          <w:p w14:paraId="1F18017B" w14:textId="77777777" w:rsidR="00C0326C" w:rsidRPr="00535516" w:rsidRDefault="00C0326C" w:rsidP="00535516">
            <w:pPr>
              <w:pStyle w:val="TableParagraph"/>
              <w:spacing w:before="3" w:line="218" w:lineRule="exact"/>
              <w:ind w:left="2" w:right="358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Total - Fiscal Balance ($m)</w:t>
            </w:r>
          </w:p>
        </w:tc>
        <w:tc>
          <w:tcPr>
            <w:tcW w:w="1134" w:type="dxa"/>
          </w:tcPr>
          <w:p w14:paraId="76FD8081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0.0</w:t>
            </w:r>
          </w:p>
        </w:tc>
        <w:tc>
          <w:tcPr>
            <w:tcW w:w="1134" w:type="dxa"/>
          </w:tcPr>
          <w:p w14:paraId="7637D73C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-6.4</w:t>
            </w:r>
          </w:p>
        </w:tc>
        <w:tc>
          <w:tcPr>
            <w:tcW w:w="1134" w:type="dxa"/>
          </w:tcPr>
          <w:p w14:paraId="57491B19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-109.8</w:t>
            </w:r>
          </w:p>
        </w:tc>
        <w:tc>
          <w:tcPr>
            <w:tcW w:w="1134" w:type="dxa"/>
          </w:tcPr>
          <w:p w14:paraId="2AA16321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-107.7</w:t>
            </w:r>
          </w:p>
        </w:tc>
        <w:tc>
          <w:tcPr>
            <w:tcW w:w="1147" w:type="dxa"/>
          </w:tcPr>
          <w:p w14:paraId="0C64A2B0" w14:textId="77777777" w:rsidR="00C0326C" w:rsidRPr="00535516" w:rsidRDefault="00C0326C" w:rsidP="00535516">
            <w:pPr>
              <w:pStyle w:val="TableParagraph"/>
              <w:jc w:val="center"/>
              <w:rPr>
                <w:b/>
                <w:sz w:val="18"/>
              </w:rPr>
            </w:pPr>
            <w:r w:rsidRPr="00535516">
              <w:rPr>
                <w:b/>
                <w:sz w:val="18"/>
              </w:rPr>
              <w:t>-111.2</w:t>
            </w:r>
          </w:p>
        </w:tc>
      </w:tr>
    </w:tbl>
    <w:p w14:paraId="137FF05A" w14:textId="77777777" w:rsidR="008420C9" w:rsidRDefault="008420C9">
      <w:pPr>
        <w:spacing w:before="1"/>
        <w:rPr>
          <w:sz w:val="20"/>
        </w:rPr>
      </w:pPr>
    </w:p>
    <w:p w14:paraId="2E345DDA" w14:textId="77777777" w:rsidR="008420C9" w:rsidRDefault="004409D7" w:rsidP="00CD35AE">
      <w:pPr>
        <w:ind w:left="303" w:right="130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14:paraId="2A012DAB" w14:textId="77777777" w:rsidR="008420C9" w:rsidRDefault="008420C9" w:rsidP="00CD35AE">
      <w:pPr>
        <w:spacing w:before="1"/>
        <w:ind w:right="130"/>
        <w:rPr>
          <w:b/>
          <w:sz w:val="20"/>
        </w:rPr>
      </w:pPr>
    </w:p>
    <w:p w14:paraId="0A41B8D0" w14:textId="3C06BEF4" w:rsidR="008420C9" w:rsidRDefault="00535683" w:rsidP="00CD35AE">
      <w:pPr>
        <w:ind w:left="303" w:right="130"/>
        <w:rPr>
          <w:sz w:val="20"/>
        </w:rPr>
      </w:pPr>
      <w:r>
        <w:rPr>
          <w:sz w:val="20"/>
        </w:rPr>
        <w:t>Not applicable</w:t>
      </w:r>
      <w:r w:rsidR="00EF07CA">
        <w:rPr>
          <w:sz w:val="20"/>
        </w:rPr>
        <w:t>.</w:t>
      </w:r>
    </w:p>
    <w:p w14:paraId="165BC62D" w14:textId="77777777" w:rsidR="008420C9" w:rsidRDefault="008420C9" w:rsidP="00CD35AE">
      <w:pPr>
        <w:spacing w:before="10"/>
        <w:ind w:right="130"/>
        <w:rPr>
          <w:sz w:val="19"/>
        </w:rPr>
      </w:pPr>
    </w:p>
    <w:p w14:paraId="59CE722E" w14:textId="77777777" w:rsidR="008420C9" w:rsidRDefault="004409D7" w:rsidP="00CD35AE">
      <w:pPr>
        <w:spacing w:before="1"/>
        <w:ind w:left="303" w:right="130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14:paraId="5FFF33A3" w14:textId="77777777" w:rsidR="008420C9" w:rsidRDefault="008420C9" w:rsidP="00CD35AE">
      <w:pPr>
        <w:ind w:right="130"/>
        <w:rPr>
          <w:b/>
          <w:sz w:val="20"/>
        </w:rPr>
      </w:pPr>
    </w:p>
    <w:p w14:paraId="5C6CE7C1" w14:textId="69D87BF1" w:rsidR="008420C9" w:rsidRDefault="004409D7" w:rsidP="00CD35AE">
      <w:pPr>
        <w:ind w:left="303" w:right="130"/>
        <w:rPr>
          <w:sz w:val="20"/>
        </w:rPr>
      </w:pPr>
      <w:r>
        <w:rPr>
          <w:sz w:val="20"/>
        </w:rPr>
        <w:t>Not applicable</w:t>
      </w:r>
      <w:r w:rsidR="00EF07CA">
        <w:rPr>
          <w:sz w:val="20"/>
        </w:rPr>
        <w:t>.</w:t>
      </w:r>
    </w:p>
    <w:p w14:paraId="5903B466" w14:textId="77777777" w:rsidR="008420C9" w:rsidRDefault="008420C9" w:rsidP="00CD35AE">
      <w:pPr>
        <w:spacing w:before="1"/>
        <w:ind w:right="130"/>
        <w:rPr>
          <w:sz w:val="20"/>
        </w:rPr>
      </w:pPr>
    </w:p>
    <w:p w14:paraId="7E2C8C5C" w14:textId="77777777"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14:paraId="0E11A76D" w14:textId="77777777" w:rsidR="008420C9" w:rsidRDefault="008420C9">
      <w:pPr>
        <w:spacing w:before="11"/>
        <w:rPr>
          <w:b/>
          <w:sz w:val="19"/>
        </w:rPr>
      </w:pPr>
    </w:p>
    <w:p w14:paraId="5650B9C4" w14:textId="010FEF84" w:rsidR="008B71D3" w:rsidRDefault="008B71D3" w:rsidP="008B71D3">
      <w:pPr>
        <w:spacing w:before="1"/>
        <w:ind w:left="284"/>
        <w:rPr>
          <w:sz w:val="20"/>
        </w:rPr>
      </w:pPr>
      <w:r>
        <w:rPr>
          <w:sz w:val="20"/>
        </w:rPr>
        <w:t xml:space="preserve">Consistent with the costing request, it is assumed that the </w:t>
      </w:r>
      <w:r w:rsidRPr="00BB7600">
        <w:rPr>
          <w:sz w:val="20"/>
        </w:rPr>
        <w:t xml:space="preserve">Department of Health </w:t>
      </w:r>
      <w:r>
        <w:rPr>
          <w:sz w:val="20"/>
        </w:rPr>
        <w:t>will</w:t>
      </w:r>
      <w:r w:rsidRPr="00BB7600">
        <w:rPr>
          <w:sz w:val="20"/>
        </w:rPr>
        <w:t xml:space="preserve"> absorb any associated departmental operating </w:t>
      </w:r>
      <w:r>
        <w:rPr>
          <w:sz w:val="20"/>
        </w:rPr>
        <w:t>or capital expenses.</w:t>
      </w:r>
    </w:p>
    <w:p w14:paraId="5B645968" w14:textId="33C6C0B0" w:rsidR="00CD35AE" w:rsidRDefault="00CD35AE" w:rsidP="008B71D3">
      <w:pPr>
        <w:spacing w:before="1"/>
        <w:ind w:left="284"/>
        <w:rPr>
          <w:sz w:val="20"/>
        </w:rPr>
      </w:pPr>
    </w:p>
    <w:p w14:paraId="6ADAFBB9" w14:textId="77777777" w:rsidR="00CD35AE" w:rsidRDefault="00CD35AE" w:rsidP="008B71D3">
      <w:pPr>
        <w:spacing w:before="1"/>
        <w:ind w:left="284"/>
        <w:rPr>
          <w:sz w:val="20"/>
        </w:rPr>
      </w:pPr>
    </w:p>
    <w:p w14:paraId="2638667C" w14:textId="77777777" w:rsidR="008420C9" w:rsidRDefault="004409D7">
      <w:pPr>
        <w:ind w:left="303" w:right="2052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14:paraId="5CC06774" w14:textId="77777777" w:rsidR="008420C9" w:rsidRDefault="008420C9">
      <w:pPr>
        <w:spacing w:before="12"/>
        <w:rPr>
          <w:b/>
          <w:sz w:val="19"/>
        </w:rPr>
      </w:pPr>
    </w:p>
    <w:p w14:paraId="7FB1BA2E" w14:textId="77777777" w:rsidR="00674F49" w:rsidRPr="00E3395B" w:rsidRDefault="00674F49" w:rsidP="00674F49">
      <w:pPr>
        <w:spacing w:line="276" w:lineRule="auto"/>
        <w:ind w:left="303" w:right="1758"/>
        <w:rPr>
          <w:sz w:val="20"/>
        </w:rPr>
      </w:pPr>
      <w:r w:rsidRPr="00AF07AB">
        <w:rPr>
          <w:sz w:val="20"/>
        </w:rPr>
        <w:t>The costing reflects the current script volume estimates.</w:t>
      </w:r>
    </w:p>
    <w:p w14:paraId="2EDCE560" w14:textId="77777777" w:rsidR="008420C9" w:rsidRDefault="008420C9">
      <w:pPr>
        <w:spacing w:before="7"/>
        <w:rPr>
          <w:sz w:val="19"/>
        </w:rPr>
      </w:pPr>
    </w:p>
    <w:p w14:paraId="6B586A0A" w14:textId="2D9B14D0" w:rsidR="008420C9" w:rsidRPr="00EF07CA" w:rsidRDefault="004409D7">
      <w:pPr>
        <w:spacing w:line="276" w:lineRule="auto"/>
        <w:ind w:left="303" w:right="1758"/>
        <w:rPr>
          <w:b/>
          <w:i/>
          <w:sz w:val="20"/>
          <w:szCs w:val="20"/>
        </w:rPr>
      </w:pPr>
      <w:r w:rsidRPr="00EF07CA">
        <w:rPr>
          <w:b/>
          <w:sz w:val="20"/>
          <w:szCs w:val="20"/>
        </w:rPr>
        <w:t>Other comments (including reasons for significant differences between the estimated impact on the fiscal and underlying cash balances)</w:t>
      </w:r>
      <w:r w:rsidRPr="00EF07CA">
        <w:rPr>
          <w:b/>
          <w:i/>
          <w:sz w:val="20"/>
          <w:szCs w:val="20"/>
        </w:rPr>
        <w:t>.</w:t>
      </w:r>
    </w:p>
    <w:p w14:paraId="317A2D61" w14:textId="372BB675" w:rsidR="00765390" w:rsidRPr="00EC4738" w:rsidRDefault="00765390">
      <w:pPr>
        <w:spacing w:line="276" w:lineRule="auto"/>
        <w:ind w:left="303" w:right="1758"/>
        <w:rPr>
          <w:b/>
          <w:i/>
        </w:rPr>
      </w:pPr>
    </w:p>
    <w:p w14:paraId="24C4B8BA" w14:textId="76A9F5B7" w:rsidR="00ED6361" w:rsidRDefault="00ED6361" w:rsidP="00ED6361">
      <w:pPr>
        <w:ind w:left="303"/>
        <w:rPr>
          <w:sz w:val="20"/>
        </w:rPr>
      </w:pPr>
      <w:r w:rsidRPr="00E3395B">
        <w:rPr>
          <w:sz w:val="20"/>
        </w:rPr>
        <w:t>Not applicable</w:t>
      </w:r>
      <w:r w:rsidR="00EF07CA">
        <w:rPr>
          <w:sz w:val="20"/>
        </w:rPr>
        <w:t>.</w:t>
      </w:r>
    </w:p>
    <w:p w14:paraId="39E8FD7D" w14:textId="77777777" w:rsidR="008420C9" w:rsidRDefault="004409D7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14:paraId="3A5187FE" w14:textId="77777777" w:rsidR="008420C9" w:rsidRDefault="008420C9">
      <w:pPr>
        <w:spacing w:before="1"/>
        <w:rPr>
          <w:b/>
          <w:sz w:val="20"/>
        </w:rPr>
      </w:pPr>
    </w:p>
    <w:p w14:paraId="64DADE1C" w14:textId="71447506" w:rsidR="008420C9" w:rsidRDefault="004409D7" w:rsidP="00535683">
      <w:pPr>
        <w:ind w:left="303"/>
        <w:rPr>
          <w:sz w:val="20"/>
        </w:rPr>
      </w:pP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 w:rsidR="00535683">
        <w:rPr>
          <w:sz w:val="20"/>
        </w:rPr>
        <w:t>applicable</w:t>
      </w:r>
      <w:r w:rsidR="00EF07CA">
        <w:rPr>
          <w:sz w:val="20"/>
        </w:rPr>
        <w:t>.</w:t>
      </w:r>
    </w:p>
    <w:p w14:paraId="76C7C024" w14:textId="68230A3B" w:rsidR="002A70A9" w:rsidRDefault="002A70A9" w:rsidP="00535683">
      <w:pPr>
        <w:ind w:left="303"/>
        <w:rPr>
          <w:sz w:val="20"/>
        </w:rPr>
      </w:pPr>
    </w:p>
    <w:p w14:paraId="5FE76D35" w14:textId="77777777"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14:paraId="06F2D019" w14:textId="7912A49C" w:rsidR="00E3395B" w:rsidRDefault="00E3395B">
      <w:r>
        <w:br w:type="page"/>
      </w:r>
    </w:p>
    <w:p w14:paraId="2C25F094" w14:textId="77777777" w:rsidR="008420C9" w:rsidRDefault="004409D7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14:paraId="56EDC610" w14:textId="77777777" w:rsidR="002A70A9" w:rsidRDefault="002A70A9">
      <w:pPr>
        <w:pStyle w:val="Heading3"/>
        <w:spacing w:before="3"/>
      </w:pPr>
    </w:p>
    <w:p w14:paraId="468B18A9" w14:textId="71795639" w:rsidR="008420C9" w:rsidRDefault="004409D7">
      <w:pPr>
        <w:pStyle w:val="Heading3"/>
        <w:spacing w:before="3"/>
      </w:pPr>
      <w:r>
        <w:t>Costing methodology used:</w:t>
      </w:r>
    </w:p>
    <w:p w14:paraId="613DDC64" w14:textId="77777777" w:rsidR="008420C9" w:rsidRDefault="008420C9">
      <w:pPr>
        <w:spacing w:before="10"/>
        <w:rPr>
          <w:sz w:val="19"/>
        </w:rPr>
      </w:pPr>
    </w:p>
    <w:p w14:paraId="1D3CCFBB" w14:textId="7053C35F" w:rsidR="00575E74" w:rsidRPr="008B71D3" w:rsidRDefault="00DA615D" w:rsidP="008B71D3">
      <w:pPr>
        <w:ind w:left="284"/>
        <w:rPr>
          <w:sz w:val="20"/>
          <w:szCs w:val="20"/>
        </w:rPr>
      </w:pPr>
      <w:r>
        <w:rPr>
          <w:sz w:val="20"/>
          <w:szCs w:val="20"/>
        </w:rPr>
        <w:t>Th</w:t>
      </w:r>
      <w:r w:rsidR="009A08C4">
        <w:rPr>
          <w:sz w:val="20"/>
          <w:szCs w:val="20"/>
        </w:rPr>
        <w:t xml:space="preserve">e costing is based on </w:t>
      </w:r>
      <w:r w:rsidR="00575E74" w:rsidRPr="008B71D3">
        <w:rPr>
          <w:sz w:val="20"/>
          <w:szCs w:val="20"/>
        </w:rPr>
        <w:t>analysis of PBS historical data</w:t>
      </w:r>
      <w:r w:rsidR="009A08C4">
        <w:rPr>
          <w:sz w:val="20"/>
          <w:szCs w:val="20"/>
        </w:rPr>
        <w:t xml:space="preserve"> to</w:t>
      </w:r>
      <w:r w:rsidR="00575E74" w:rsidRPr="008B71D3">
        <w:rPr>
          <w:sz w:val="20"/>
          <w:szCs w:val="20"/>
        </w:rPr>
        <w:t xml:space="preserve"> predict future consumption rates based on a patient</w:t>
      </w:r>
      <w:r w:rsidR="008F32A8">
        <w:rPr>
          <w:sz w:val="20"/>
          <w:szCs w:val="20"/>
        </w:rPr>
        <w:t>’</w:t>
      </w:r>
      <w:r w:rsidR="00575E74" w:rsidRPr="008B71D3">
        <w:rPr>
          <w:sz w:val="20"/>
          <w:szCs w:val="20"/>
        </w:rPr>
        <w:t xml:space="preserve">s </w:t>
      </w:r>
      <w:r w:rsidR="008F32A8">
        <w:rPr>
          <w:sz w:val="20"/>
          <w:szCs w:val="20"/>
        </w:rPr>
        <w:t xml:space="preserve">safety net </w:t>
      </w:r>
      <w:r w:rsidR="00575E74" w:rsidRPr="008B71D3">
        <w:rPr>
          <w:sz w:val="20"/>
          <w:szCs w:val="20"/>
        </w:rPr>
        <w:t>status</w:t>
      </w:r>
      <w:r w:rsidR="008F32A8">
        <w:rPr>
          <w:sz w:val="20"/>
          <w:szCs w:val="20"/>
        </w:rPr>
        <w:t>,</w:t>
      </w:r>
      <w:r w:rsidR="00575E74" w:rsidRPr="008B71D3">
        <w:rPr>
          <w:sz w:val="20"/>
          <w:szCs w:val="20"/>
        </w:rPr>
        <w:t xml:space="preserve"> and applying the impact of lowered safety net thresholds. </w:t>
      </w:r>
    </w:p>
    <w:p w14:paraId="40FA05E3" w14:textId="77777777" w:rsidR="008420C9" w:rsidRDefault="008420C9">
      <w:pPr>
        <w:spacing w:before="9"/>
        <w:rPr>
          <w:b/>
          <w:sz w:val="19"/>
        </w:rPr>
      </w:pPr>
    </w:p>
    <w:p w14:paraId="52C09DD8" w14:textId="3ADD9F3C" w:rsidR="008420C9" w:rsidRPr="008B71D3" w:rsidRDefault="004409D7" w:rsidP="008B71D3">
      <w:pPr>
        <w:pStyle w:val="Heading3"/>
        <w:spacing w:before="3"/>
      </w:pPr>
      <w:r w:rsidRPr="008B71D3">
        <w:t>Policy parameters</w:t>
      </w:r>
    </w:p>
    <w:p w14:paraId="42745324" w14:textId="77777777" w:rsidR="008B71D3" w:rsidRPr="008B71D3" w:rsidRDefault="008B71D3" w:rsidP="008B71D3">
      <w:pPr>
        <w:pStyle w:val="Heading3"/>
        <w:spacing w:before="3"/>
      </w:pPr>
    </w:p>
    <w:p w14:paraId="03A66698" w14:textId="54984561" w:rsidR="007B6738" w:rsidRDefault="00C0326C" w:rsidP="00306BBF">
      <w:pPr>
        <w:pStyle w:val="Heading3"/>
        <w:spacing w:before="3"/>
        <w:rPr>
          <w:b w:val="0"/>
        </w:rPr>
      </w:pPr>
      <w:r>
        <w:rPr>
          <w:b w:val="0"/>
        </w:rPr>
        <w:t>The costing a</w:t>
      </w:r>
      <w:r w:rsidR="009A08C4">
        <w:rPr>
          <w:b w:val="0"/>
        </w:rPr>
        <w:t>ssumes, consistent with the costing request, the policy would start f</w:t>
      </w:r>
      <w:r w:rsidR="00306BBF">
        <w:rPr>
          <w:b w:val="0"/>
        </w:rPr>
        <w:t>rom 1</w:t>
      </w:r>
      <w:r w:rsidR="00FF3A0E">
        <w:rPr>
          <w:b w:val="0"/>
        </w:rPr>
        <w:t> </w:t>
      </w:r>
      <w:r w:rsidR="00306BBF">
        <w:rPr>
          <w:b w:val="0"/>
        </w:rPr>
        <w:t xml:space="preserve">January 2020, </w:t>
      </w:r>
      <w:r w:rsidR="009A08C4">
        <w:rPr>
          <w:b w:val="0"/>
        </w:rPr>
        <w:t>to reduce</w:t>
      </w:r>
      <w:r w:rsidR="00306BBF">
        <w:rPr>
          <w:b w:val="0"/>
        </w:rPr>
        <w:t xml:space="preserve"> </w:t>
      </w:r>
      <w:r w:rsidR="00DA615D">
        <w:rPr>
          <w:b w:val="0"/>
        </w:rPr>
        <w:t xml:space="preserve">the </w:t>
      </w:r>
      <w:r w:rsidR="007B6738">
        <w:rPr>
          <w:b w:val="0"/>
        </w:rPr>
        <w:t>general safety net from $1,586.40 threshold to $1,486.80</w:t>
      </w:r>
      <w:r w:rsidR="003A69CD">
        <w:rPr>
          <w:b w:val="0"/>
        </w:rPr>
        <w:t xml:space="preserve"> (</w:t>
      </w:r>
      <w:r w:rsidR="00682B60">
        <w:rPr>
          <w:b w:val="0"/>
        </w:rPr>
        <w:t xml:space="preserve">approximately </w:t>
      </w:r>
      <w:r w:rsidR="003A69CD">
        <w:rPr>
          <w:b w:val="0"/>
        </w:rPr>
        <w:t>38</w:t>
      </w:r>
      <w:r w:rsidR="00BD311A">
        <w:rPr>
          <w:b w:val="0"/>
        </w:rPr>
        <w:t> </w:t>
      </w:r>
      <w:r w:rsidR="006D5802">
        <w:rPr>
          <w:b w:val="0"/>
        </w:rPr>
        <w:t xml:space="preserve">to 36 </w:t>
      </w:r>
      <w:r w:rsidR="003A69CD">
        <w:rPr>
          <w:b w:val="0"/>
        </w:rPr>
        <w:t>scripts</w:t>
      </w:r>
      <w:r w:rsidR="006D5802">
        <w:rPr>
          <w:b w:val="0"/>
        </w:rPr>
        <w:t xml:space="preserve"> at the maximum co-contribution rate</w:t>
      </w:r>
      <w:r w:rsidR="00BD5822">
        <w:rPr>
          <w:b w:val="0"/>
        </w:rPr>
        <w:t xml:space="preserve"> of $41.30</w:t>
      </w:r>
      <w:r w:rsidR="00306BBF">
        <w:rPr>
          <w:b w:val="0"/>
        </w:rPr>
        <w:t xml:space="preserve">) and </w:t>
      </w:r>
      <w:r w:rsidR="009A08C4">
        <w:rPr>
          <w:b w:val="0"/>
        </w:rPr>
        <w:t xml:space="preserve">to reduce </w:t>
      </w:r>
      <w:r w:rsidR="00306BBF">
        <w:rPr>
          <w:b w:val="0"/>
        </w:rPr>
        <w:t>the</w:t>
      </w:r>
      <w:r w:rsidR="007B6738">
        <w:rPr>
          <w:b w:val="0"/>
        </w:rPr>
        <w:t xml:space="preserve"> concessional safety net from $396.00 threshold to $316.80</w:t>
      </w:r>
      <w:r w:rsidR="003A69CD">
        <w:rPr>
          <w:b w:val="0"/>
        </w:rPr>
        <w:t xml:space="preserve"> (60 to 48 scripts</w:t>
      </w:r>
      <w:r w:rsidR="006D5802">
        <w:rPr>
          <w:b w:val="0"/>
        </w:rPr>
        <w:t xml:space="preserve"> at the maximum co-contribution rate</w:t>
      </w:r>
      <w:r w:rsidR="00BD5822">
        <w:rPr>
          <w:b w:val="0"/>
        </w:rPr>
        <w:t xml:space="preserve"> of $6.60</w:t>
      </w:r>
      <w:r w:rsidR="003A69CD">
        <w:rPr>
          <w:b w:val="0"/>
        </w:rPr>
        <w:t>)</w:t>
      </w:r>
      <w:r w:rsidR="007B6738">
        <w:rPr>
          <w:b w:val="0"/>
        </w:rPr>
        <w:t xml:space="preserve">. </w:t>
      </w:r>
    </w:p>
    <w:p w14:paraId="21BA98E2" w14:textId="77777777" w:rsidR="00202FB4" w:rsidRDefault="00202FB4" w:rsidP="008B71D3">
      <w:pPr>
        <w:pStyle w:val="Heading3"/>
        <w:spacing w:before="3"/>
        <w:rPr>
          <w:b w:val="0"/>
        </w:rPr>
      </w:pPr>
    </w:p>
    <w:p w14:paraId="26EE8BB6" w14:textId="32641973" w:rsidR="00765390" w:rsidRPr="00E3395B" w:rsidRDefault="00202FB4" w:rsidP="005876A9">
      <w:pPr>
        <w:pStyle w:val="Heading3"/>
        <w:spacing w:before="3"/>
        <w:rPr>
          <w:b w:val="0"/>
        </w:rPr>
      </w:pPr>
      <w:r>
        <w:rPr>
          <w:b w:val="0"/>
        </w:rPr>
        <w:t xml:space="preserve">A patient’s co-payment and safety net threshold will continue to be indexed in line with the Consumer Price Index on 1 January each year. </w:t>
      </w:r>
    </w:p>
    <w:p w14:paraId="4BFC0035" w14:textId="77777777" w:rsidR="00765390" w:rsidRPr="008B71D3" w:rsidRDefault="00765390" w:rsidP="008B71D3">
      <w:pPr>
        <w:pStyle w:val="Heading3"/>
        <w:spacing w:before="3"/>
      </w:pPr>
    </w:p>
    <w:p w14:paraId="04B6A2E1" w14:textId="2CF8DF48" w:rsidR="008420C9" w:rsidRPr="008B71D3" w:rsidRDefault="004409D7" w:rsidP="008B71D3">
      <w:pPr>
        <w:pStyle w:val="Heading3"/>
        <w:spacing w:before="3"/>
      </w:pPr>
      <w:r>
        <w:t>Statistical data</w:t>
      </w:r>
      <w:r w:rsidRPr="008B71D3">
        <w:t xml:space="preserve"> </w:t>
      </w:r>
      <w:r>
        <w:t>used</w:t>
      </w:r>
    </w:p>
    <w:p w14:paraId="6D933DB8" w14:textId="77777777" w:rsidR="008B71D3" w:rsidRPr="008B71D3" w:rsidRDefault="008B71D3" w:rsidP="008B71D3">
      <w:pPr>
        <w:pStyle w:val="Heading3"/>
        <w:spacing w:before="3"/>
      </w:pPr>
    </w:p>
    <w:p w14:paraId="44B3AD96" w14:textId="57EEB43F" w:rsidR="00575E74" w:rsidRPr="008B71D3" w:rsidRDefault="00C0326C" w:rsidP="008B71D3">
      <w:pPr>
        <w:pStyle w:val="Heading3"/>
        <w:spacing w:before="3"/>
        <w:rPr>
          <w:b w:val="0"/>
        </w:rPr>
      </w:pPr>
      <w:r>
        <w:rPr>
          <w:b w:val="0"/>
        </w:rPr>
        <w:t xml:space="preserve">The costing is based on the </w:t>
      </w:r>
      <w:r w:rsidR="00F62D04">
        <w:rPr>
          <w:b w:val="0"/>
        </w:rPr>
        <w:t>2017-18</w:t>
      </w:r>
      <w:r w:rsidR="00F62D04" w:rsidRPr="008B71D3">
        <w:rPr>
          <w:b w:val="0"/>
        </w:rPr>
        <w:t xml:space="preserve"> </w:t>
      </w:r>
      <w:r w:rsidR="00575E74" w:rsidRPr="008B71D3">
        <w:rPr>
          <w:b w:val="0"/>
        </w:rPr>
        <w:t xml:space="preserve">PBS transactional data. </w:t>
      </w:r>
    </w:p>
    <w:p w14:paraId="3C172324" w14:textId="629AA01A" w:rsidR="008420C9" w:rsidRDefault="008B71D3">
      <w:pPr>
        <w:spacing w:before="188"/>
        <w:ind w:left="303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 w:rsidR="004409D7">
        <w:rPr>
          <w:b/>
          <w:sz w:val="20"/>
        </w:rPr>
        <w:t xml:space="preserve"> assumptions used (as appropriate)</w:t>
      </w:r>
    </w:p>
    <w:p w14:paraId="5EABF923" w14:textId="77777777" w:rsidR="008420C9" w:rsidRDefault="008420C9">
      <w:pPr>
        <w:spacing w:before="1"/>
        <w:rPr>
          <w:b/>
          <w:sz w:val="20"/>
        </w:rPr>
      </w:pPr>
    </w:p>
    <w:p w14:paraId="0681A47C" w14:textId="42C5B256" w:rsidR="008420C9" w:rsidRDefault="009A08C4" w:rsidP="00575E74">
      <w:pPr>
        <w:ind w:left="303"/>
        <w:rPr>
          <w:sz w:val="20"/>
        </w:rPr>
      </w:pPr>
      <w:r>
        <w:rPr>
          <w:sz w:val="20"/>
        </w:rPr>
        <w:t>A patient</w:t>
      </w:r>
      <w:r w:rsidR="002A70A9">
        <w:rPr>
          <w:sz w:val="20"/>
        </w:rPr>
        <w:t>’</w:t>
      </w:r>
      <w:r>
        <w:rPr>
          <w:sz w:val="20"/>
        </w:rPr>
        <w:t xml:space="preserve">s </w:t>
      </w:r>
      <w:r w:rsidR="009916BB">
        <w:rPr>
          <w:sz w:val="20"/>
        </w:rPr>
        <w:t>uptake of medicines once reaching the safety net</w:t>
      </w:r>
      <w:r>
        <w:rPr>
          <w:sz w:val="20"/>
        </w:rPr>
        <w:t xml:space="preserve"> is consistent with behavior under the existing threshold</w:t>
      </w:r>
      <w:r w:rsidR="00575E74">
        <w:rPr>
          <w:sz w:val="20"/>
        </w:rPr>
        <w:t>.</w:t>
      </w:r>
    </w:p>
    <w:sectPr w:rsidR="008420C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62536" w14:textId="77777777" w:rsidR="00BC6404" w:rsidRDefault="00BC6404">
      <w:r>
        <w:separator/>
      </w:r>
    </w:p>
  </w:endnote>
  <w:endnote w:type="continuationSeparator" w:id="0">
    <w:p w14:paraId="0358BB2A" w14:textId="77777777" w:rsidR="00BC6404" w:rsidRDefault="00B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DB59" w14:textId="77777777" w:rsidR="00BC6404" w:rsidRDefault="00BC6404">
      <w:r>
        <w:separator/>
      </w:r>
    </w:p>
  </w:footnote>
  <w:footnote w:type="continuationSeparator" w:id="0">
    <w:p w14:paraId="3833184C" w14:textId="77777777" w:rsidR="00BC6404" w:rsidRDefault="00BC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DE69" w14:textId="2EDA042C" w:rsidR="008420C9" w:rsidRDefault="00947E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EC9CD2" wp14:editId="20711FB4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90B89" w14:textId="77777777"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C9C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14:paraId="7B490B89" w14:textId="77777777"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" w15:restartNumberingAfterBreak="0">
    <w:nsid w:val="3D3D0009"/>
    <w:multiLevelType w:val="hybridMultilevel"/>
    <w:tmpl w:val="28EA275E"/>
    <w:lvl w:ilvl="0" w:tplc="C4100DAE">
      <w:numFmt w:val="bullet"/>
      <w:lvlText w:val=""/>
      <w:lvlJc w:val="left"/>
      <w:pPr>
        <w:ind w:left="663" w:hanging="360"/>
      </w:pPr>
      <w:rPr>
        <w:rFonts w:ascii="Symbol" w:eastAsia="Verdana" w:hAnsi="Symbol" w:cs="Verdana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14E7D"/>
    <w:rsid w:val="0006129C"/>
    <w:rsid w:val="00077936"/>
    <w:rsid w:val="00082F51"/>
    <w:rsid w:val="000930B9"/>
    <w:rsid w:val="00095811"/>
    <w:rsid w:val="00110501"/>
    <w:rsid w:val="00131F1E"/>
    <w:rsid w:val="00132E45"/>
    <w:rsid w:val="00175246"/>
    <w:rsid w:val="001A55BB"/>
    <w:rsid w:val="001B117E"/>
    <w:rsid w:val="001F0AEF"/>
    <w:rsid w:val="00202FB4"/>
    <w:rsid w:val="0021723F"/>
    <w:rsid w:val="0026294C"/>
    <w:rsid w:val="002A70A9"/>
    <w:rsid w:val="00306BBF"/>
    <w:rsid w:val="00343A58"/>
    <w:rsid w:val="003A69CD"/>
    <w:rsid w:val="003E581E"/>
    <w:rsid w:val="0041150E"/>
    <w:rsid w:val="004409D7"/>
    <w:rsid w:val="00452EA8"/>
    <w:rsid w:val="00461D2E"/>
    <w:rsid w:val="00477186"/>
    <w:rsid w:val="00494167"/>
    <w:rsid w:val="004B3395"/>
    <w:rsid w:val="004C13A1"/>
    <w:rsid w:val="004D587D"/>
    <w:rsid w:val="00521D13"/>
    <w:rsid w:val="00535683"/>
    <w:rsid w:val="0055071B"/>
    <w:rsid w:val="00575E74"/>
    <w:rsid w:val="00586AA0"/>
    <w:rsid w:val="005876A9"/>
    <w:rsid w:val="005E23A5"/>
    <w:rsid w:val="005F1AD9"/>
    <w:rsid w:val="00633AFE"/>
    <w:rsid w:val="00674F49"/>
    <w:rsid w:val="00682B60"/>
    <w:rsid w:val="006B424A"/>
    <w:rsid w:val="006D5802"/>
    <w:rsid w:val="007157C2"/>
    <w:rsid w:val="00765390"/>
    <w:rsid w:val="007B6738"/>
    <w:rsid w:val="007E1509"/>
    <w:rsid w:val="00841312"/>
    <w:rsid w:val="008420C9"/>
    <w:rsid w:val="008A1BC5"/>
    <w:rsid w:val="008B71D3"/>
    <w:rsid w:val="008F32A8"/>
    <w:rsid w:val="008F4CE3"/>
    <w:rsid w:val="00947EE5"/>
    <w:rsid w:val="009916BB"/>
    <w:rsid w:val="00992306"/>
    <w:rsid w:val="009A08C4"/>
    <w:rsid w:val="009A250C"/>
    <w:rsid w:val="009D6DEA"/>
    <w:rsid w:val="00A304ED"/>
    <w:rsid w:val="00A66B29"/>
    <w:rsid w:val="00AE7793"/>
    <w:rsid w:val="00AF07AB"/>
    <w:rsid w:val="00BC6404"/>
    <w:rsid w:val="00BD311A"/>
    <w:rsid w:val="00BD5822"/>
    <w:rsid w:val="00BF4A0D"/>
    <w:rsid w:val="00C0326C"/>
    <w:rsid w:val="00C64ADF"/>
    <w:rsid w:val="00CA33B8"/>
    <w:rsid w:val="00CB5D7B"/>
    <w:rsid w:val="00CC120B"/>
    <w:rsid w:val="00CD35AE"/>
    <w:rsid w:val="00D4732F"/>
    <w:rsid w:val="00D82115"/>
    <w:rsid w:val="00DA35B9"/>
    <w:rsid w:val="00DA49CC"/>
    <w:rsid w:val="00DA615D"/>
    <w:rsid w:val="00DE00A8"/>
    <w:rsid w:val="00E10D0B"/>
    <w:rsid w:val="00E3395B"/>
    <w:rsid w:val="00E75AD7"/>
    <w:rsid w:val="00EC0891"/>
    <w:rsid w:val="00EC4738"/>
    <w:rsid w:val="00ED6361"/>
    <w:rsid w:val="00EF07CA"/>
    <w:rsid w:val="00F62D04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B6DC7C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F6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D0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D04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0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5C46E296</Template>
  <TotalTime>27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10</cp:revision>
  <dcterms:created xsi:type="dcterms:W3CDTF">2019-05-14T01:19:00Z</dcterms:created>
  <dcterms:modified xsi:type="dcterms:W3CDTF">2019-05-15T04:04:00Z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