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C9" w:rsidRDefault="004409D7">
      <w:pPr>
        <w:pStyle w:val="BodyText"/>
        <w:ind w:left="3853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1428076" cy="1032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76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C9" w:rsidRDefault="008420C9">
      <w:pPr>
        <w:pStyle w:val="BodyText"/>
        <w:spacing w:before="7"/>
        <w:rPr>
          <w:sz w:val="13"/>
        </w:rPr>
      </w:pPr>
    </w:p>
    <w:p w:rsidR="008420C9" w:rsidRDefault="004409D7">
      <w:pPr>
        <w:pStyle w:val="Heading1"/>
        <w:spacing w:before="100"/>
        <w:ind w:left="917"/>
      </w:pPr>
      <w:r>
        <w:t>PUBLIC RELEASE OF 2019 ELECTION COMMITMENT COSTING</w:t>
      </w:r>
    </w:p>
    <w:p w:rsidR="008420C9" w:rsidRDefault="008420C9">
      <w:pPr>
        <w:spacing w:before="11" w:after="1"/>
        <w:rPr>
          <w:b/>
          <w:sz w:val="19"/>
        </w:rPr>
      </w:pP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408"/>
      </w:tblGrid>
      <w:tr w:rsidR="008420C9" w:rsidRPr="00EF6709" w:rsidTr="00A223A1">
        <w:trPr>
          <w:trHeight w:val="244"/>
        </w:trPr>
        <w:tc>
          <w:tcPr>
            <w:tcW w:w="9409" w:type="dxa"/>
            <w:gridSpan w:val="2"/>
            <w:shd w:val="clear" w:color="auto" w:fill="E4E4E4"/>
          </w:tcPr>
          <w:p w:rsidR="008420C9" w:rsidRPr="00EF6709" w:rsidRDefault="004409D7">
            <w:pPr>
              <w:pStyle w:val="TableParagraph"/>
              <w:spacing w:before="3" w:line="222" w:lineRule="exact"/>
              <w:ind w:left="2"/>
              <w:rPr>
                <w:b/>
                <w:sz w:val="20"/>
                <w:szCs w:val="20"/>
              </w:rPr>
            </w:pPr>
            <w:r w:rsidRPr="00EF6709">
              <w:rPr>
                <w:b/>
                <w:sz w:val="20"/>
                <w:szCs w:val="20"/>
              </w:rPr>
              <w:t>Name of proposal costed:</w:t>
            </w:r>
            <w:r w:rsidR="00CA6F01" w:rsidRPr="00EF6709">
              <w:rPr>
                <w:sz w:val="20"/>
                <w:szCs w:val="20"/>
              </w:rPr>
              <w:t xml:space="preserve"> </w:t>
            </w:r>
            <w:r w:rsidR="00CA6F01" w:rsidRPr="006F30DC">
              <w:rPr>
                <w:b/>
                <w:sz w:val="20"/>
                <w:szCs w:val="20"/>
              </w:rPr>
              <w:t>ACCC Agriculture Unit - continuation</w:t>
            </w:r>
          </w:p>
        </w:tc>
      </w:tr>
      <w:tr w:rsidR="008420C9" w:rsidRPr="00EF6709" w:rsidTr="00A223A1">
        <w:trPr>
          <w:trHeight w:val="496"/>
        </w:trPr>
        <w:tc>
          <w:tcPr>
            <w:tcW w:w="4001" w:type="dxa"/>
          </w:tcPr>
          <w:p w:rsidR="008420C9" w:rsidRPr="00EF6709" w:rsidRDefault="004409D7">
            <w:pPr>
              <w:pStyle w:val="TableParagraph"/>
              <w:ind w:left="2"/>
              <w:rPr>
                <w:b/>
                <w:sz w:val="20"/>
                <w:szCs w:val="20"/>
              </w:rPr>
            </w:pPr>
            <w:r w:rsidRPr="00EF6709">
              <w:rPr>
                <w:b/>
                <w:sz w:val="20"/>
                <w:szCs w:val="20"/>
              </w:rPr>
              <w:t>Costing Identifier:</w:t>
            </w:r>
          </w:p>
        </w:tc>
        <w:tc>
          <w:tcPr>
            <w:tcW w:w="5408" w:type="dxa"/>
          </w:tcPr>
          <w:p w:rsidR="008420C9" w:rsidRPr="00EF6709" w:rsidRDefault="00B37848">
            <w:pPr>
              <w:pStyle w:val="TableParagraph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COA046</w:t>
            </w:r>
          </w:p>
        </w:tc>
      </w:tr>
      <w:tr w:rsidR="008420C9" w:rsidRPr="00EF6709" w:rsidTr="00A223A1">
        <w:trPr>
          <w:trHeight w:val="484"/>
        </w:trPr>
        <w:tc>
          <w:tcPr>
            <w:tcW w:w="4001" w:type="dxa"/>
          </w:tcPr>
          <w:p w:rsidR="008420C9" w:rsidRPr="00EF6709" w:rsidRDefault="004409D7">
            <w:pPr>
              <w:pStyle w:val="TableParagraph"/>
              <w:ind w:left="2"/>
              <w:rPr>
                <w:b/>
                <w:sz w:val="20"/>
                <w:szCs w:val="20"/>
              </w:rPr>
            </w:pPr>
            <w:r w:rsidRPr="00EF6709">
              <w:rPr>
                <w:b/>
                <w:sz w:val="20"/>
                <w:szCs w:val="20"/>
              </w:rPr>
              <w:t>Summary of costing:</w:t>
            </w:r>
          </w:p>
        </w:tc>
        <w:tc>
          <w:tcPr>
            <w:tcW w:w="5408" w:type="dxa"/>
          </w:tcPr>
          <w:p w:rsidR="008420C9" w:rsidRPr="00EF6709" w:rsidRDefault="000464B2">
            <w:pPr>
              <w:pStyle w:val="TableParagraph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The Coalition will provide $2.7 million per annum from 2020-21 to the A</w:t>
            </w:r>
            <w:r w:rsidR="00DD7EF0" w:rsidRPr="00EF6709">
              <w:rPr>
                <w:sz w:val="20"/>
                <w:szCs w:val="20"/>
              </w:rPr>
              <w:t>ustralian Competition and Consumer Commission (A</w:t>
            </w:r>
            <w:r w:rsidRPr="00EF6709">
              <w:rPr>
                <w:sz w:val="20"/>
                <w:szCs w:val="20"/>
              </w:rPr>
              <w:t>CCC</w:t>
            </w:r>
            <w:r w:rsidR="00DD7EF0" w:rsidRPr="00EF6709">
              <w:rPr>
                <w:sz w:val="20"/>
                <w:szCs w:val="20"/>
              </w:rPr>
              <w:t>)</w:t>
            </w:r>
            <w:r w:rsidRPr="00EF6709">
              <w:rPr>
                <w:sz w:val="20"/>
                <w:szCs w:val="20"/>
              </w:rPr>
              <w:t xml:space="preserve"> to continue the operations of its Agriculture Unit.</w:t>
            </w:r>
          </w:p>
          <w:p w:rsidR="000D5DFA" w:rsidRPr="00EF6709" w:rsidRDefault="000D5DFA">
            <w:pPr>
              <w:pStyle w:val="TableParagraph"/>
              <w:rPr>
                <w:sz w:val="20"/>
                <w:szCs w:val="20"/>
              </w:rPr>
            </w:pPr>
          </w:p>
          <w:p w:rsidR="000464B2" w:rsidRPr="00EF6709" w:rsidRDefault="000464B2">
            <w:pPr>
              <w:pStyle w:val="TableParagraph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The Unit will include a dedicated dairy advocate to focus on enforcement and compliance of the Dairy Mandatory Code of Conduct.</w:t>
            </w:r>
          </w:p>
          <w:p w:rsidR="000D5DFA" w:rsidRPr="00EF6709" w:rsidRDefault="000D5D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20C9" w:rsidRPr="00EF6709" w:rsidTr="00A223A1">
        <w:trPr>
          <w:trHeight w:val="486"/>
        </w:trPr>
        <w:tc>
          <w:tcPr>
            <w:tcW w:w="4001" w:type="dxa"/>
          </w:tcPr>
          <w:p w:rsidR="008420C9" w:rsidRPr="00EF6709" w:rsidRDefault="004409D7">
            <w:pPr>
              <w:pStyle w:val="TableParagraph"/>
              <w:spacing w:before="10" w:line="242" w:lineRule="exact"/>
              <w:ind w:left="2" w:right="86"/>
              <w:rPr>
                <w:b/>
                <w:sz w:val="20"/>
                <w:szCs w:val="20"/>
              </w:rPr>
            </w:pPr>
            <w:r w:rsidRPr="00EF6709">
              <w:rPr>
                <w:b/>
                <w:sz w:val="20"/>
                <w:szCs w:val="20"/>
              </w:rPr>
              <w:t>Ongoing or Terminating (including date)</w:t>
            </w:r>
            <w:r w:rsidRPr="006F30DC">
              <w:rPr>
                <w:b/>
                <w:position w:val="7"/>
                <w:sz w:val="13"/>
                <w:szCs w:val="13"/>
              </w:rPr>
              <w:t>(a)</w:t>
            </w:r>
          </w:p>
        </w:tc>
        <w:tc>
          <w:tcPr>
            <w:tcW w:w="5408" w:type="dxa"/>
          </w:tcPr>
          <w:p w:rsidR="008420C9" w:rsidRPr="00EF6709" w:rsidRDefault="00AF2B82">
            <w:pPr>
              <w:pStyle w:val="TableParagraph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Ongoing</w:t>
            </w:r>
          </w:p>
        </w:tc>
      </w:tr>
      <w:tr w:rsidR="008420C9" w:rsidRPr="00EF6709" w:rsidTr="00A223A1">
        <w:trPr>
          <w:trHeight w:val="480"/>
        </w:trPr>
        <w:tc>
          <w:tcPr>
            <w:tcW w:w="4001" w:type="dxa"/>
          </w:tcPr>
          <w:p w:rsidR="008420C9" w:rsidRPr="00EF6709" w:rsidRDefault="004409D7">
            <w:pPr>
              <w:pStyle w:val="TableParagraph"/>
              <w:spacing w:line="236" w:lineRule="exact"/>
              <w:ind w:left="2"/>
              <w:rPr>
                <w:b/>
                <w:sz w:val="20"/>
                <w:szCs w:val="20"/>
              </w:rPr>
            </w:pPr>
            <w:r w:rsidRPr="00EF6709">
              <w:rPr>
                <w:b/>
                <w:sz w:val="20"/>
                <w:szCs w:val="20"/>
              </w:rPr>
              <w:t>Person making the request:</w:t>
            </w:r>
          </w:p>
        </w:tc>
        <w:tc>
          <w:tcPr>
            <w:tcW w:w="5408" w:type="dxa"/>
          </w:tcPr>
          <w:p w:rsidR="008420C9" w:rsidRPr="00EF6709" w:rsidRDefault="00B560DE">
            <w:pPr>
              <w:pStyle w:val="TableParagraph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Prime Minister</w:t>
            </w:r>
          </w:p>
        </w:tc>
      </w:tr>
      <w:tr w:rsidR="008420C9" w:rsidRPr="00EF6709" w:rsidTr="00A223A1">
        <w:trPr>
          <w:trHeight w:val="484"/>
        </w:trPr>
        <w:tc>
          <w:tcPr>
            <w:tcW w:w="4001" w:type="dxa"/>
          </w:tcPr>
          <w:p w:rsidR="008420C9" w:rsidRPr="00EF6709" w:rsidRDefault="004409D7">
            <w:pPr>
              <w:pStyle w:val="TableParagraph"/>
              <w:ind w:left="2"/>
              <w:rPr>
                <w:b/>
                <w:sz w:val="20"/>
                <w:szCs w:val="20"/>
              </w:rPr>
            </w:pPr>
            <w:r w:rsidRPr="00EF6709">
              <w:rPr>
                <w:b/>
                <w:sz w:val="20"/>
                <w:szCs w:val="20"/>
              </w:rPr>
              <w:t>Date costing request received:</w:t>
            </w:r>
          </w:p>
        </w:tc>
        <w:tc>
          <w:tcPr>
            <w:tcW w:w="5408" w:type="dxa"/>
          </w:tcPr>
          <w:p w:rsidR="008420C9" w:rsidRPr="00EF6709" w:rsidRDefault="00B560DE">
            <w:pPr>
              <w:pStyle w:val="TableParagraph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9 May 2019</w:t>
            </w:r>
            <w:bookmarkStart w:id="0" w:name="_GoBack"/>
            <w:bookmarkEnd w:id="0"/>
          </w:p>
        </w:tc>
      </w:tr>
      <w:tr w:rsidR="008420C9" w:rsidRPr="00EF6709" w:rsidTr="00A223A1">
        <w:trPr>
          <w:trHeight w:val="486"/>
        </w:trPr>
        <w:tc>
          <w:tcPr>
            <w:tcW w:w="4001" w:type="dxa"/>
          </w:tcPr>
          <w:p w:rsidR="008420C9" w:rsidRPr="00EF6709" w:rsidRDefault="004409D7">
            <w:pPr>
              <w:pStyle w:val="TableParagraph"/>
              <w:ind w:left="2"/>
              <w:rPr>
                <w:b/>
                <w:sz w:val="20"/>
                <w:szCs w:val="20"/>
              </w:rPr>
            </w:pPr>
            <w:r w:rsidRPr="00EF6709">
              <w:rPr>
                <w:b/>
                <w:sz w:val="20"/>
                <w:szCs w:val="20"/>
              </w:rPr>
              <w:t>Date of public release of policy:</w:t>
            </w:r>
          </w:p>
        </w:tc>
        <w:tc>
          <w:tcPr>
            <w:tcW w:w="5408" w:type="dxa"/>
          </w:tcPr>
          <w:p w:rsidR="008420C9" w:rsidRPr="00EF6709" w:rsidRDefault="00B560DE">
            <w:pPr>
              <w:pStyle w:val="TableParagraph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8 May 2019</w:t>
            </w:r>
          </w:p>
        </w:tc>
      </w:tr>
      <w:tr w:rsidR="008420C9" w:rsidRPr="004865D4" w:rsidTr="00520697">
        <w:trPr>
          <w:trHeight w:val="406"/>
        </w:trPr>
        <w:tc>
          <w:tcPr>
            <w:tcW w:w="4001" w:type="dxa"/>
          </w:tcPr>
          <w:p w:rsidR="008420C9" w:rsidRPr="00EF6709" w:rsidRDefault="004409D7">
            <w:pPr>
              <w:pStyle w:val="TableParagraph"/>
              <w:spacing w:line="222" w:lineRule="exact"/>
              <w:ind w:left="2"/>
              <w:rPr>
                <w:b/>
                <w:sz w:val="20"/>
                <w:szCs w:val="20"/>
              </w:rPr>
            </w:pPr>
            <w:r w:rsidRPr="00EF6709">
              <w:rPr>
                <w:b/>
                <w:sz w:val="20"/>
                <w:szCs w:val="20"/>
              </w:rPr>
              <w:t>Date costing completed:</w:t>
            </w:r>
          </w:p>
        </w:tc>
        <w:tc>
          <w:tcPr>
            <w:tcW w:w="5408" w:type="dxa"/>
          </w:tcPr>
          <w:p w:rsidR="008420C9" w:rsidRPr="004865D4" w:rsidRDefault="004865D4" w:rsidP="004865D4">
            <w:pPr>
              <w:pStyle w:val="TableParagraph"/>
              <w:rPr>
                <w:sz w:val="20"/>
                <w:szCs w:val="20"/>
              </w:rPr>
            </w:pPr>
            <w:r w:rsidRPr="004865D4">
              <w:rPr>
                <w:sz w:val="20"/>
                <w:szCs w:val="20"/>
              </w:rPr>
              <w:t>13</w:t>
            </w:r>
            <w:r w:rsidR="006F30DC" w:rsidRPr="004865D4">
              <w:rPr>
                <w:sz w:val="20"/>
                <w:szCs w:val="20"/>
              </w:rPr>
              <w:t xml:space="preserve"> </w:t>
            </w:r>
            <w:r w:rsidR="00EE4AD4" w:rsidRPr="004865D4">
              <w:rPr>
                <w:sz w:val="20"/>
                <w:szCs w:val="20"/>
              </w:rPr>
              <w:t>May 2019</w:t>
            </w:r>
          </w:p>
        </w:tc>
      </w:tr>
      <w:tr w:rsidR="008420C9" w:rsidRPr="00EF6709" w:rsidTr="00A223A1">
        <w:trPr>
          <w:trHeight w:val="729"/>
        </w:trPr>
        <w:tc>
          <w:tcPr>
            <w:tcW w:w="4001" w:type="dxa"/>
          </w:tcPr>
          <w:p w:rsidR="008420C9" w:rsidRPr="00EF6709" w:rsidRDefault="004409D7">
            <w:pPr>
              <w:pStyle w:val="TableParagraph"/>
              <w:ind w:left="2" w:right="246"/>
              <w:rPr>
                <w:b/>
                <w:sz w:val="20"/>
                <w:szCs w:val="20"/>
              </w:rPr>
            </w:pPr>
            <w:r w:rsidRPr="00EF6709">
              <w:rPr>
                <w:b/>
                <w:sz w:val="20"/>
                <w:szCs w:val="20"/>
              </w:rPr>
              <w:t>Additional information requested (including date):</w:t>
            </w:r>
          </w:p>
        </w:tc>
        <w:tc>
          <w:tcPr>
            <w:tcW w:w="5408" w:type="dxa"/>
          </w:tcPr>
          <w:p w:rsidR="008420C9" w:rsidRPr="00EF6709" w:rsidRDefault="007A6E94">
            <w:pPr>
              <w:pStyle w:val="TableParagraph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Not applicable</w:t>
            </w:r>
            <w:r w:rsidR="00CA6F01" w:rsidRPr="00EF6709">
              <w:rPr>
                <w:sz w:val="20"/>
                <w:szCs w:val="20"/>
              </w:rPr>
              <w:t>.</w:t>
            </w:r>
          </w:p>
        </w:tc>
      </w:tr>
      <w:tr w:rsidR="008420C9" w:rsidRPr="00EF6709" w:rsidTr="00A223A1">
        <w:trPr>
          <w:trHeight w:val="729"/>
        </w:trPr>
        <w:tc>
          <w:tcPr>
            <w:tcW w:w="4001" w:type="dxa"/>
          </w:tcPr>
          <w:p w:rsidR="008420C9" w:rsidRPr="00EF6709" w:rsidRDefault="004409D7">
            <w:pPr>
              <w:pStyle w:val="TableParagraph"/>
              <w:ind w:left="69" w:right="423" w:hanging="68"/>
              <w:rPr>
                <w:b/>
                <w:sz w:val="20"/>
                <w:szCs w:val="20"/>
              </w:rPr>
            </w:pPr>
            <w:r w:rsidRPr="00EF6709">
              <w:rPr>
                <w:b/>
                <w:sz w:val="20"/>
                <w:szCs w:val="20"/>
              </w:rPr>
              <w:t>Additional information received (including date):</w:t>
            </w:r>
          </w:p>
        </w:tc>
        <w:tc>
          <w:tcPr>
            <w:tcW w:w="5408" w:type="dxa"/>
          </w:tcPr>
          <w:p w:rsidR="008420C9" w:rsidRPr="00EF6709" w:rsidRDefault="007A6E94">
            <w:pPr>
              <w:pStyle w:val="TableParagraph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Not applicable</w:t>
            </w:r>
            <w:r w:rsidR="00CA6F01" w:rsidRPr="00EF6709">
              <w:rPr>
                <w:sz w:val="20"/>
                <w:szCs w:val="20"/>
              </w:rPr>
              <w:t>.</w:t>
            </w:r>
          </w:p>
        </w:tc>
      </w:tr>
    </w:tbl>
    <w:p w:rsidR="008420C9" w:rsidRPr="006F30DC" w:rsidRDefault="004409D7">
      <w:pPr>
        <w:pStyle w:val="ListParagraph"/>
        <w:numPr>
          <w:ilvl w:val="0"/>
          <w:numId w:val="1"/>
        </w:numPr>
        <w:tabs>
          <w:tab w:val="left" w:pos="544"/>
        </w:tabs>
        <w:ind w:hanging="240"/>
        <w:rPr>
          <w:sz w:val="16"/>
          <w:szCs w:val="16"/>
        </w:rPr>
      </w:pPr>
      <w:r w:rsidRPr="006F30DC">
        <w:rPr>
          <w:sz w:val="16"/>
          <w:szCs w:val="16"/>
        </w:rPr>
        <w:t>Ongoing policies continue indefinitely (until a decision is made to cease or alter the</w:t>
      </w:r>
      <w:r w:rsidRPr="006F30DC">
        <w:rPr>
          <w:spacing w:val="-19"/>
          <w:sz w:val="16"/>
          <w:szCs w:val="16"/>
        </w:rPr>
        <w:t xml:space="preserve"> </w:t>
      </w:r>
      <w:r w:rsidRPr="006F30DC">
        <w:rPr>
          <w:sz w:val="16"/>
          <w:szCs w:val="16"/>
        </w:rPr>
        <w:t>program).</w:t>
      </w:r>
    </w:p>
    <w:p w:rsidR="008420C9" w:rsidRPr="006F30DC" w:rsidRDefault="004409D7">
      <w:pPr>
        <w:pStyle w:val="BodyText"/>
        <w:ind w:left="303" w:right="320"/>
      </w:pPr>
      <w:r w:rsidRPr="006F30DC">
        <w:t>Terminating measures end on a date set out in the initial policy and a further decision is required to continue the program beyond this date.</w:t>
      </w:r>
    </w:p>
    <w:p w:rsidR="008420C9" w:rsidRPr="00EF6709" w:rsidRDefault="008420C9">
      <w:pPr>
        <w:pStyle w:val="BodyText"/>
        <w:spacing w:before="8"/>
        <w:rPr>
          <w:rFonts w:ascii="Verdana" w:hAnsi="Verdana"/>
          <w:sz w:val="20"/>
          <w:szCs w:val="20"/>
        </w:rPr>
      </w:pPr>
    </w:p>
    <w:p w:rsidR="000D5DFA" w:rsidRPr="00EF6709" w:rsidRDefault="000D5DFA">
      <w:pPr>
        <w:pStyle w:val="BodyText"/>
        <w:spacing w:before="8"/>
        <w:rPr>
          <w:rFonts w:ascii="Verdana" w:hAnsi="Verdana"/>
          <w:sz w:val="20"/>
          <w:szCs w:val="20"/>
        </w:rPr>
      </w:pPr>
    </w:p>
    <w:p w:rsidR="000D5DFA" w:rsidRPr="00EF6709" w:rsidRDefault="000D5DFA">
      <w:pPr>
        <w:pStyle w:val="BodyText"/>
        <w:spacing w:before="8"/>
        <w:rPr>
          <w:rFonts w:ascii="Verdana" w:hAnsi="Verdana"/>
          <w:sz w:val="20"/>
          <w:szCs w:val="20"/>
        </w:rPr>
      </w:pPr>
    </w:p>
    <w:p w:rsidR="008420C9" w:rsidRPr="00EF6709" w:rsidRDefault="004409D7">
      <w:pPr>
        <w:pStyle w:val="Heading2"/>
        <w:spacing w:after="4"/>
        <w:rPr>
          <w:sz w:val="20"/>
          <w:szCs w:val="20"/>
        </w:rPr>
      </w:pPr>
      <w:r w:rsidRPr="00EF6709">
        <w:rPr>
          <w:sz w:val="20"/>
          <w:szCs w:val="20"/>
        </w:rPr>
        <w:t>Financial implications (outturn prices</w:t>
      </w:r>
      <w:proofErr w:type="gramStart"/>
      <w:r w:rsidRPr="00EF6709">
        <w:rPr>
          <w:sz w:val="20"/>
          <w:szCs w:val="20"/>
        </w:rPr>
        <w:t>)</w:t>
      </w:r>
      <w:r w:rsidRPr="006F30DC">
        <w:rPr>
          <w:position w:val="8"/>
          <w:sz w:val="13"/>
          <w:szCs w:val="13"/>
        </w:rPr>
        <w:t>(</w:t>
      </w:r>
      <w:proofErr w:type="gramEnd"/>
      <w:r w:rsidRPr="006F30DC">
        <w:rPr>
          <w:position w:val="8"/>
          <w:sz w:val="13"/>
          <w:szCs w:val="13"/>
        </w:rPr>
        <w:t>b)</w:t>
      </w: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538"/>
        <w:gridCol w:w="1538"/>
        <w:gridCol w:w="1538"/>
        <w:gridCol w:w="1538"/>
        <w:gridCol w:w="1538"/>
      </w:tblGrid>
      <w:tr w:rsidR="008420C9" w:rsidRPr="00EF6709">
        <w:trPr>
          <w:trHeight w:val="242"/>
        </w:trPr>
        <w:tc>
          <w:tcPr>
            <w:tcW w:w="1651" w:type="dxa"/>
            <w:shd w:val="clear" w:color="auto" w:fill="E4E4E4"/>
          </w:tcPr>
          <w:p w:rsidR="008420C9" w:rsidRPr="00EF6709" w:rsidRDefault="004409D7">
            <w:pPr>
              <w:pStyle w:val="TableParagraph"/>
              <w:spacing w:line="222" w:lineRule="exact"/>
              <w:ind w:left="2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Impact on</w:t>
            </w:r>
          </w:p>
        </w:tc>
        <w:tc>
          <w:tcPr>
            <w:tcW w:w="1538" w:type="dxa"/>
            <w:shd w:val="clear" w:color="auto" w:fill="E4E4E4"/>
          </w:tcPr>
          <w:p w:rsidR="008420C9" w:rsidRPr="00EF6709" w:rsidRDefault="004409D7" w:rsidP="00C3320F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2018-19</w:t>
            </w:r>
          </w:p>
        </w:tc>
        <w:tc>
          <w:tcPr>
            <w:tcW w:w="1538" w:type="dxa"/>
            <w:shd w:val="clear" w:color="auto" w:fill="E4E4E4"/>
          </w:tcPr>
          <w:p w:rsidR="008420C9" w:rsidRPr="00EF6709" w:rsidRDefault="004409D7" w:rsidP="00C3320F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2019-20</w:t>
            </w:r>
          </w:p>
        </w:tc>
        <w:tc>
          <w:tcPr>
            <w:tcW w:w="1538" w:type="dxa"/>
            <w:shd w:val="clear" w:color="auto" w:fill="E4E4E4"/>
          </w:tcPr>
          <w:p w:rsidR="008420C9" w:rsidRPr="00EF6709" w:rsidRDefault="004409D7" w:rsidP="00C3320F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2020-21</w:t>
            </w:r>
          </w:p>
        </w:tc>
        <w:tc>
          <w:tcPr>
            <w:tcW w:w="1538" w:type="dxa"/>
            <w:shd w:val="clear" w:color="auto" w:fill="E4E4E4"/>
          </w:tcPr>
          <w:p w:rsidR="008420C9" w:rsidRPr="00EF6709" w:rsidRDefault="004409D7" w:rsidP="00C3320F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2021-22</w:t>
            </w:r>
          </w:p>
        </w:tc>
        <w:tc>
          <w:tcPr>
            <w:tcW w:w="1538" w:type="dxa"/>
            <w:shd w:val="clear" w:color="auto" w:fill="E4E4E4"/>
          </w:tcPr>
          <w:p w:rsidR="008420C9" w:rsidRPr="00EF6709" w:rsidRDefault="004409D7" w:rsidP="00C3320F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2022-23</w:t>
            </w:r>
          </w:p>
        </w:tc>
      </w:tr>
      <w:tr w:rsidR="00DD7EF0" w:rsidRPr="00EF6709">
        <w:trPr>
          <w:trHeight w:val="436"/>
        </w:trPr>
        <w:tc>
          <w:tcPr>
            <w:tcW w:w="1651" w:type="dxa"/>
          </w:tcPr>
          <w:p w:rsidR="00DD7EF0" w:rsidRPr="00EF6709" w:rsidRDefault="00DD7EF0" w:rsidP="00DD7EF0">
            <w:pPr>
              <w:pStyle w:val="TableParagraph"/>
              <w:spacing w:before="8" w:line="218" w:lineRule="exact"/>
              <w:ind w:left="2" w:right="146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Underlying Cash Balance ($m)</w:t>
            </w:r>
          </w:p>
        </w:tc>
        <w:tc>
          <w:tcPr>
            <w:tcW w:w="1538" w:type="dxa"/>
          </w:tcPr>
          <w:p w:rsidR="00DD7EF0" w:rsidRPr="00EF6709" w:rsidRDefault="005771FC" w:rsidP="00C3320F">
            <w:pPr>
              <w:pStyle w:val="TableParagraph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DD7EF0" w:rsidRPr="00EF6709" w:rsidRDefault="005771FC" w:rsidP="00C3320F">
            <w:pPr>
              <w:pStyle w:val="TableParagraph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DD7EF0" w:rsidRPr="00EF6709" w:rsidRDefault="00DD7EF0" w:rsidP="00C3320F">
            <w:pPr>
              <w:pStyle w:val="TableParagraph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-2.7</w:t>
            </w:r>
          </w:p>
        </w:tc>
        <w:tc>
          <w:tcPr>
            <w:tcW w:w="1538" w:type="dxa"/>
          </w:tcPr>
          <w:p w:rsidR="00DD7EF0" w:rsidRPr="00EF6709" w:rsidRDefault="00DD7EF0" w:rsidP="00C3320F">
            <w:pPr>
              <w:pStyle w:val="TableParagraph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-2.7</w:t>
            </w:r>
          </w:p>
        </w:tc>
        <w:tc>
          <w:tcPr>
            <w:tcW w:w="1538" w:type="dxa"/>
          </w:tcPr>
          <w:p w:rsidR="00DD7EF0" w:rsidRPr="00EF6709" w:rsidRDefault="00DD7EF0" w:rsidP="00C3320F">
            <w:pPr>
              <w:pStyle w:val="TableParagraph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-2.7</w:t>
            </w:r>
          </w:p>
        </w:tc>
      </w:tr>
      <w:tr w:rsidR="00DD7EF0" w:rsidRPr="00EF6709">
        <w:trPr>
          <w:trHeight w:val="431"/>
        </w:trPr>
        <w:tc>
          <w:tcPr>
            <w:tcW w:w="1651" w:type="dxa"/>
          </w:tcPr>
          <w:p w:rsidR="00DD7EF0" w:rsidRPr="00EF6709" w:rsidRDefault="00DD7EF0" w:rsidP="00DD7EF0">
            <w:pPr>
              <w:pStyle w:val="TableParagraph"/>
              <w:spacing w:before="3" w:line="218" w:lineRule="exact"/>
              <w:ind w:left="2" w:right="358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Fiscal Balance ($m)</w:t>
            </w:r>
          </w:p>
        </w:tc>
        <w:tc>
          <w:tcPr>
            <w:tcW w:w="1538" w:type="dxa"/>
          </w:tcPr>
          <w:p w:rsidR="00DD7EF0" w:rsidRPr="00EF6709" w:rsidRDefault="005771FC" w:rsidP="00C3320F">
            <w:pPr>
              <w:pStyle w:val="TableParagraph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DD7EF0" w:rsidRPr="00EF6709" w:rsidRDefault="005771FC" w:rsidP="00C3320F">
            <w:pPr>
              <w:pStyle w:val="TableParagraph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DD7EF0" w:rsidRPr="00EF6709" w:rsidRDefault="00DD7EF0" w:rsidP="00C3320F">
            <w:pPr>
              <w:pStyle w:val="TableParagraph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-2.7</w:t>
            </w:r>
          </w:p>
        </w:tc>
        <w:tc>
          <w:tcPr>
            <w:tcW w:w="1538" w:type="dxa"/>
          </w:tcPr>
          <w:p w:rsidR="00DD7EF0" w:rsidRPr="00EF6709" w:rsidRDefault="00DD7EF0" w:rsidP="00C3320F">
            <w:pPr>
              <w:pStyle w:val="TableParagraph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-2.7</w:t>
            </w:r>
          </w:p>
        </w:tc>
        <w:tc>
          <w:tcPr>
            <w:tcW w:w="1538" w:type="dxa"/>
          </w:tcPr>
          <w:p w:rsidR="00DD7EF0" w:rsidRPr="00EF6709" w:rsidRDefault="00DD7EF0" w:rsidP="00C3320F">
            <w:pPr>
              <w:pStyle w:val="TableParagraph"/>
              <w:jc w:val="center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>-2.7</w:t>
            </w:r>
          </w:p>
        </w:tc>
      </w:tr>
    </w:tbl>
    <w:p w:rsidR="008420C9" w:rsidRPr="006F30DC" w:rsidRDefault="004409D7" w:rsidP="006F30DC">
      <w:pPr>
        <w:pStyle w:val="ListParagraph"/>
        <w:numPr>
          <w:ilvl w:val="0"/>
          <w:numId w:val="1"/>
        </w:numPr>
        <w:tabs>
          <w:tab w:val="left" w:pos="548"/>
        </w:tabs>
        <w:ind w:hanging="240"/>
        <w:rPr>
          <w:sz w:val="16"/>
          <w:szCs w:val="16"/>
        </w:rPr>
      </w:pPr>
      <w:r w:rsidRPr="006F30DC">
        <w:rPr>
          <w:sz w:val="16"/>
          <w:szCs w:val="16"/>
        </w:rPr>
        <w:t>A positive number for the fiscal balance indicates an increase in revenue or a decrease in expenses or net capital investment in accrual terms. A positive number for the underlying cash balance indicates an increase in revenue or a decrease in expenses or net capital investment in cash terms.</w:t>
      </w:r>
    </w:p>
    <w:p w:rsidR="008420C9" w:rsidRPr="00EF6709" w:rsidRDefault="008420C9">
      <w:pPr>
        <w:pStyle w:val="BodyText"/>
        <w:spacing w:before="3"/>
        <w:rPr>
          <w:rFonts w:ascii="Verdana" w:hAnsi="Verdana"/>
          <w:sz w:val="20"/>
          <w:szCs w:val="20"/>
        </w:rPr>
      </w:pPr>
    </w:p>
    <w:p w:rsidR="000C7162" w:rsidRPr="00EF6709" w:rsidRDefault="000C7162">
      <w:pPr>
        <w:rPr>
          <w:sz w:val="20"/>
          <w:szCs w:val="20"/>
        </w:rPr>
      </w:pPr>
      <w:r w:rsidRPr="00EF6709">
        <w:rPr>
          <w:sz w:val="20"/>
          <w:szCs w:val="20"/>
        </w:rPr>
        <w:br w:type="page"/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5"/>
      </w:tblGrid>
      <w:tr w:rsidR="008420C9" w:rsidRPr="00EF6709">
        <w:trPr>
          <w:trHeight w:val="1094"/>
        </w:trPr>
        <w:tc>
          <w:tcPr>
            <w:tcW w:w="7445" w:type="dxa"/>
          </w:tcPr>
          <w:p w:rsidR="008420C9" w:rsidRPr="00EF6709" w:rsidRDefault="004409D7">
            <w:pPr>
              <w:pStyle w:val="TableParagraph"/>
              <w:ind w:left="200" w:right="373"/>
              <w:rPr>
                <w:b/>
                <w:sz w:val="20"/>
                <w:szCs w:val="20"/>
              </w:rPr>
            </w:pPr>
            <w:r w:rsidRPr="00EF6709">
              <w:rPr>
                <w:b/>
                <w:sz w:val="20"/>
                <w:szCs w:val="20"/>
              </w:rPr>
              <w:lastRenderedPageBreak/>
              <w:t>Where relevant, state that the proposal has been costed as a defined or specified amount.</w:t>
            </w:r>
          </w:p>
          <w:p w:rsidR="008420C9" w:rsidRPr="00EF6709" w:rsidRDefault="008420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8420C9" w:rsidRPr="00EF6709" w:rsidRDefault="00112017" w:rsidP="00112017">
            <w:pPr>
              <w:pStyle w:val="TableParagraph"/>
              <w:ind w:left="200"/>
              <w:rPr>
                <w:sz w:val="20"/>
                <w:szCs w:val="20"/>
              </w:rPr>
            </w:pPr>
            <w:r w:rsidRPr="00EF6709">
              <w:rPr>
                <w:sz w:val="20"/>
                <w:szCs w:val="20"/>
              </w:rPr>
              <w:t xml:space="preserve">The proposal has been costed as a </w:t>
            </w:r>
            <w:r w:rsidR="006F30DC">
              <w:rPr>
                <w:sz w:val="20"/>
                <w:szCs w:val="20"/>
              </w:rPr>
              <w:t>d</w:t>
            </w:r>
            <w:r w:rsidR="005771FC" w:rsidRPr="00EF6709">
              <w:rPr>
                <w:sz w:val="20"/>
                <w:szCs w:val="20"/>
              </w:rPr>
              <w:t>efined amount</w:t>
            </w:r>
            <w:r w:rsidR="00CA6F01" w:rsidRPr="00EF6709">
              <w:rPr>
                <w:sz w:val="20"/>
                <w:szCs w:val="20"/>
              </w:rPr>
              <w:t>.</w:t>
            </w:r>
          </w:p>
        </w:tc>
      </w:tr>
      <w:tr w:rsidR="008420C9" w:rsidRPr="00EF6709">
        <w:trPr>
          <w:trHeight w:val="607"/>
        </w:trPr>
        <w:tc>
          <w:tcPr>
            <w:tcW w:w="7445" w:type="dxa"/>
          </w:tcPr>
          <w:p w:rsidR="008420C9" w:rsidRPr="00EF6709" w:rsidRDefault="004409D7">
            <w:pPr>
              <w:pStyle w:val="TableParagraph"/>
              <w:spacing w:before="129" w:line="242" w:lineRule="exact"/>
              <w:ind w:left="200" w:right="179"/>
              <w:rPr>
                <w:b/>
                <w:sz w:val="20"/>
                <w:szCs w:val="20"/>
              </w:rPr>
            </w:pPr>
            <w:r w:rsidRPr="00EF6709">
              <w:rPr>
                <w:b/>
                <w:sz w:val="20"/>
                <w:szCs w:val="20"/>
              </w:rPr>
              <w:t>Where relevant, include separate identification of revenue and expense components.</w:t>
            </w:r>
          </w:p>
        </w:tc>
      </w:tr>
    </w:tbl>
    <w:p w:rsidR="008420C9" w:rsidRPr="00EF6709" w:rsidRDefault="00641E76">
      <w:pPr>
        <w:spacing w:before="90"/>
        <w:ind w:left="303"/>
        <w:rPr>
          <w:sz w:val="20"/>
          <w:szCs w:val="20"/>
        </w:rPr>
      </w:pPr>
      <w:r w:rsidRPr="00EF6709">
        <w:rPr>
          <w:sz w:val="20"/>
          <w:szCs w:val="20"/>
        </w:rPr>
        <w:t>Not applicable</w:t>
      </w:r>
      <w:r w:rsidR="00CA6F01" w:rsidRPr="00EF6709">
        <w:rPr>
          <w:sz w:val="20"/>
          <w:szCs w:val="20"/>
        </w:rPr>
        <w:t>.</w:t>
      </w:r>
    </w:p>
    <w:p w:rsidR="008420C9" w:rsidRPr="00EF6709" w:rsidRDefault="008420C9">
      <w:pPr>
        <w:spacing w:before="1"/>
        <w:rPr>
          <w:sz w:val="20"/>
          <w:szCs w:val="20"/>
        </w:rPr>
      </w:pPr>
    </w:p>
    <w:p w:rsidR="008420C9" w:rsidRPr="00EF6709" w:rsidRDefault="004409D7">
      <w:pPr>
        <w:ind w:left="303" w:right="2207"/>
        <w:rPr>
          <w:b/>
          <w:sz w:val="20"/>
          <w:szCs w:val="20"/>
        </w:rPr>
      </w:pPr>
      <w:r w:rsidRPr="00EF6709">
        <w:rPr>
          <w:b/>
          <w:sz w:val="20"/>
          <w:szCs w:val="20"/>
        </w:rPr>
        <w:t>Where appropriate, include a range for the costing or sensitivity analysis.</w:t>
      </w:r>
    </w:p>
    <w:p w:rsidR="008420C9" w:rsidRPr="00EF6709" w:rsidRDefault="008420C9">
      <w:pPr>
        <w:spacing w:before="1"/>
        <w:rPr>
          <w:b/>
          <w:sz w:val="20"/>
          <w:szCs w:val="20"/>
        </w:rPr>
      </w:pPr>
    </w:p>
    <w:p w:rsidR="008420C9" w:rsidRPr="00EF6709" w:rsidRDefault="00CA6E75">
      <w:pPr>
        <w:ind w:left="303"/>
        <w:rPr>
          <w:sz w:val="20"/>
          <w:szCs w:val="20"/>
        </w:rPr>
      </w:pPr>
      <w:r w:rsidRPr="00EF6709">
        <w:rPr>
          <w:sz w:val="20"/>
          <w:szCs w:val="20"/>
        </w:rPr>
        <w:t>Not applicable</w:t>
      </w:r>
      <w:r w:rsidR="00CA6F01" w:rsidRPr="00EF6709">
        <w:rPr>
          <w:sz w:val="20"/>
          <w:szCs w:val="20"/>
        </w:rPr>
        <w:t>.</w:t>
      </w:r>
    </w:p>
    <w:p w:rsidR="00DD7EF0" w:rsidRPr="00EF6709" w:rsidRDefault="00DD7EF0">
      <w:pPr>
        <w:rPr>
          <w:b/>
          <w:sz w:val="20"/>
          <w:szCs w:val="20"/>
        </w:rPr>
      </w:pPr>
    </w:p>
    <w:p w:rsidR="008420C9" w:rsidRPr="00EF6709" w:rsidRDefault="004409D7">
      <w:pPr>
        <w:spacing w:before="1"/>
        <w:ind w:left="303" w:right="1971"/>
        <w:rPr>
          <w:b/>
          <w:sz w:val="20"/>
          <w:szCs w:val="20"/>
        </w:rPr>
      </w:pPr>
      <w:r w:rsidRPr="00EF6709">
        <w:rPr>
          <w:b/>
          <w:sz w:val="20"/>
          <w:szCs w:val="20"/>
        </w:rPr>
        <w:t>Qualifications to the costing (including reasons for the costing not being comprehensive).</w:t>
      </w:r>
    </w:p>
    <w:p w:rsidR="008420C9" w:rsidRPr="00EF6709" w:rsidRDefault="008420C9">
      <w:pPr>
        <w:rPr>
          <w:b/>
          <w:sz w:val="20"/>
          <w:szCs w:val="20"/>
        </w:rPr>
      </w:pPr>
    </w:p>
    <w:p w:rsidR="008420C9" w:rsidRPr="00EF6709" w:rsidRDefault="0054730F">
      <w:pPr>
        <w:ind w:left="303"/>
        <w:rPr>
          <w:sz w:val="20"/>
          <w:szCs w:val="20"/>
        </w:rPr>
      </w:pPr>
      <w:r w:rsidRPr="00EF6709">
        <w:rPr>
          <w:sz w:val="20"/>
          <w:szCs w:val="20"/>
        </w:rPr>
        <w:t>Not applicable</w:t>
      </w:r>
      <w:r w:rsidR="00CA6F01" w:rsidRPr="00EF6709">
        <w:rPr>
          <w:sz w:val="20"/>
          <w:szCs w:val="20"/>
        </w:rPr>
        <w:t>.</w:t>
      </w:r>
    </w:p>
    <w:p w:rsidR="008420C9" w:rsidRPr="00EF6709" w:rsidRDefault="008420C9">
      <w:pPr>
        <w:spacing w:before="1"/>
        <w:rPr>
          <w:sz w:val="20"/>
          <w:szCs w:val="20"/>
        </w:rPr>
      </w:pPr>
    </w:p>
    <w:p w:rsidR="008420C9" w:rsidRPr="00EF6709" w:rsidRDefault="004409D7">
      <w:pPr>
        <w:ind w:left="303"/>
        <w:rPr>
          <w:b/>
          <w:sz w:val="20"/>
          <w:szCs w:val="20"/>
        </w:rPr>
      </w:pPr>
      <w:r w:rsidRPr="00EF6709">
        <w:rPr>
          <w:b/>
          <w:sz w:val="20"/>
          <w:szCs w:val="20"/>
        </w:rPr>
        <w:t>Where relevant, explain effects of departmental expenses.</w:t>
      </w:r>
    </w:p>
    <w:p w:rsidR="008420C9" w:rsidRPr="00EF6709" w:rsidRDefault="008420C9">
      <w:pPr>
        <w:spacing w:before="11"/>
        <w:rPr>
          <w:b/>
          <w:sz w:val="20"/>
          <w:szCs w:val="20"/>
        </w:rPr>
      </w:pPr>
    </w:p>
    <w:p w:rsidR="008420C9" w:rsidRPr="00EF6709" w:rsidRDefault="0054730F">
      <w:pPr>
        <w:ind w:left="303"/>
        <w:rPr>
          <w:sz w:val="20"/>
          <w:szCs w:val="20"/>
        </w:rPr>
      </w:pPr>
      <w:r w:rsidRPr="00EF6709">
        <w:rPr>
          <w:sz w:val="20"/>
          <w:szCs w:val="20"/>
        </w:rPr>
        <w:t>Not applicable</w:t>
      </w:r>
      <w:r w:rsidR="00CA6F01" w:rsidRPr="00EF6709">
        <w:rPr>
          <w:sz w:val="20"/>
          <w:szCs w:val="20"/>
        </w:rPr>
        <w:t>.</w:t>
      </w:r>
    </w:p>
    <w:p w:rsidR="008420C9" w:rsidRPr="00EF6709" w:rsidRDefault="008420C9">
      <w:pPr>
        <w:spacing w:before="1"/>
        <w:rPr>
          <w:sz w:val="20"/>
          <w:szCs w:val="20"/>
        </w:rPr>
      </w:pPr>
    </w:p>
    <w:p w:rsidR="008420C9" w:rsidRPr="00EF6709" w:rsidRDefault="004409D7">
      <w:pPr>
        <w:ind w:left="303" w:right="2052"/>
        <w:jc w:val="both"/>
        <w:rPr>
          <w:b/>
          <w:sz w:val="20"/>
          <w:szCs w:val="20"/>
        </w:rPr>
      </w:pPr>
      <w:r w:rsidRPr="00EF6709">
        <w:rPr>
          <w:b/>
          <w:sz w:val="20"/>
          <w:szCs w:val="20"/>
        </w:rPr>
        <w:t>Where relevant, explain the reason for any significant differences between the assumptions specified in a party costing request and those used in a Treasury or Finance costing.</w:t>
      </w:r>
    </w:p>
    <w:p w:rsidR="008420C9" w:rsidRPr="00EF6709" w:rsidRDefault="008420C9">
      <w:pPr>
        <w:spacing w:before="12"/>
        <w:rPr>
          <w:b/>
          <w:sz w:val="20"/>
          <w:szCs w:val="20"/>
        </w:rPr>
      </w:pPr>
    </w:p>
    <w:p w:rsidR="008420C9" w:rsidRPr="00EF6709" w:rsidRDefault="00794124">
      <w:pPr>
        <w:ind w:left="303"/>
        <w:rPr>
          <w:sz w:val="20"/>
          <w:szCs w:val="20"/>
        </w:rPr>
      </w:pPr>
      <w:r w:rsidRPr="00EF6709">
        <w:rPr>
          <w:sz w:val="20"/>
          <w:szCs w:val="20"/>
        </w:rPr>
        <w:t>Not applicable</w:t>
      </w:r>
      <w:r w:rsidR="00CA6F01" w:rsidRPr="00EF6709">
        <w:rPr>
          <w:sz w:val="20"/>
          <w:szCs w:val="20"/>
        </w:rPr>
        <w:t>.</w:t>
      </w:r>
    </w:p>
    <w:p w:rsidR="008420C9" w:rsidRPr="00EF6709" w:rsidRDefault="008420C9">
      <w:pPr>
        <w:spacing w:before="7"/>
        <w:rPr>
          <w:sz w:val="20"/>
          <w:szCs w:val="20"/>
        </w:rPr>
      </w:pPr>
    </w:p>
    <w:p w:rsidR="008420C9" w:rsidRPr="00EF6709" w:rsidRDefault="004409D7">
      <w:pPr>
        <w:spacing w:line="276" w:lineRule="auto"/>
        <w:ind w:left="303" w:right="1758"/>
        <w:rPr>
          <w:b/>
          <w:sz w:val="20"/>
          <w:szCs w:val="20"/>
        </w:rPr>
      </w:pPr>
      <w:r w:rsidRPr="00EF6709">
        <w:rPr>
          <w:b/>
          <w:sz w:val="20"/>
          <w:szCs w:val="20"/>
        </w:rPr>
        <w:t>Other comments (including reasons for significant differences between the estimated impact on the fiscal and underlying cash balances).</w:t>
      </w:r>
    </w:p>
    <w:p w:rsidR="005771FC" w:rsidRPr="00EF6709" w:rsidRDefault="005771FC">
      <w:pPr>
        <w:spacing w:line="276" w:lineRule="auto"/>
        <w:ind w:left="303" w:right="1758"/>
        <w:rPr>
          <w:b/>
          <w:i/>
          <w:sz w:val="20"/>
          <w:szCs w:val="20"/>
        </w:rPr>
      </w:pPr>
    </w:p>
    <w:p w:rsidR="005771FC" w:rsidRPr="00EF6709" w:rsidRDefault="005771FC" w:rsidP="005771FC">
      <w:pPr>
        <w:ind w:left="303" w:right="1796"/>
        <w:rPr>
          <w:sz w:val="20"/>
          <w:szCs w:val="20"/>
        </w:rPr>
      </w:pPr>
      <w:r w:rsidRPr="00EF6709">
        <w:rPr>
          <w:sz w:val="20"/>
          <w:szCs w:val="20"/>
        </w:rPr>
        <w:t xml:space="preserve">In the 2019-20 Budget, the ACCC received $2.7 million in 2019-20 to continue </w:t>
      </w:r>
      <w:r w:rsidR="00C42AC8" w:rsidRPr="00EF6709">
        <w:rPr>
          <w:sz w:val="20"/>
          <w:szCs w:val="20"/>
        </w:rPr>
        <w:t xml:space="preserve">the </w:t>
      </w:r>
      <w:r w:rsidRPr="00EF6709">
        <w:rPr>
          <w:sz w:val="20"/>
          <w:szCs w:val="20"/>
        </w:rPr>
        <w:t>operation of the Agriculture Unit for one year.</w:t>
      </w:r>
    </w:p>
    <w:p w:rsidR="005771FC" w:rsidRPr="00EF6709" w:rsidRDefault="005771FC" w:rsidP="005771FC">
      <w:pPr>
        <w:ind w:left="303" w:right="1796"/>
        <w:rPr>
          <w:sz w:val="20"/>
          <w:szCs w:val="20"/>
        </w:rPr>
      </w:pPr>
    </w:p>
    <w:p w:rsidR="00036452" w:rsidRPr="00EF6709" w:rsidRDefault="005771FC" w:rsidP="005771FC">
      <w:pPr>
        <w:ind w:left="303" w:right="1796"/>
        <w:rPr>
          <w:sz w:val="20"/>
          <w:szCs w:val="20"/>
        </w:rPr>
      </w:pPr>
      <w:r w:rsidRPr="00EF6709">
        <w:rPr>
          <w:sz w:val="20"/>
          <w:szCs w:val="20"/>
        </w:rPr>
        <w:t xml:space="preserve">In the 2019-20 Budget, the ACCC also received </w:t>
      </w:r>
      <w:r w:rsidR="00036452" w:rsidRPr="00EF6709">
        <w:rPr>
          <w:sz w:val="20"/>
          <w:szCs w:val="20"/>
        </w:rPr>
        <w:t>funding over 11 years ($2.2 million over four years from 2019-20) in relation to a mandatory code of conduct for the Australian dairy industry.</w:t>
      </w:r>
    </w:p>
    <w:p w:rsidR="006F30DC" w:rsidRDefault="006F30DC" w:rsidP="006F30DC">
      <w:pPr>
        <w:spacing w:before="204"/>
        <w:ind w:left="303" w:right="2207"/>
        <w:rPr>
          <w:b/>
          <w:sz w:val="20"/>
        </w:rPr>
      </w:pPr>
      <w:r>
        <w:rPr>
          <w:b/>
          <w:sz w:val="20"/>
        </w:rPr>
        <w:t>Where relevant, include an explanation of the medium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term implications 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proposal</w:t>
      </w:r>
      <w:r>
        <w:rPr>
          <w:b/>
          <w:position w:val="7"/>
          <w:sz w:val="13"/>
        </w:rPr>
        <w:t>(c)</w:t>
      </w:r>
      <w:r>
        <w:rPr>
          <w:b/>
          <w:sz w:val="20"/>
        </w:rPr>
        <w:t>.</w:t>
      </w:r>
    </w:p>
    <w:p w:rsidR="008420C9" w:rsidRPr="00EF6709" w:rsidRDefault="008420C9">
      <w:pPr>
        <w:spacing w:before="1"/>
        <w:rPr>
          <w:b/>
          <w:sz w:val="20"/>
          <w:szCs w:val="20"/>
        </w:rPr>
      </w:pPr>
    </w:p>
    <w:p w:rsidR="008420C9" w:rsidRPr="00EF6709" w:rsidRDefault="004409D7">
      <w:pPr>
        <w:ind w:left="303"/>
        <w:rPr>
          <w:sz w:val="20"/>
          <w:szCs w:val="20"/>
        </w:rPr>
      </w:pPr>
      <w:r w:rsidRPr="00EF6709">
        <w:rPr>
          <w:sz w:val="20"/>
          <w:szCs w:val="20"/>
        </w:rPr>
        <w:t>Not</w:t>
      </w:r>
      <w:r w:rsidRPr="00EF6709">
        <w:rPr>
          <w:spacing w:val="-15"/>
          <w:sz w:val="20"/>
          <w:szCs w:val="20"/>
        </w:rPr>
        <w:t xml:space="preserve"> </w:t>
      </w:r>
      <w:r w:rsidR="000C596E" w:rsidRPr="00EF6709">
        <w:rPr>
          <w:sz w:val="20"/>
          <w:szCs w:val="20"/>
        </w:rPr>
        <w:t>applicable</w:t>
      </w:r>
      <w:r w:rsidR="00CA6F01" w:rsidRPr="00EF6709">
        <w:rPr>
          <w:sz w:val="20"/>
          <w:szCs w:val="20"/>
        </w:rPr>
        <w:t>.</w:t>
      </w:r>
    </w:p>
    <w:p w:rsidR="008420C9" w:rsidRPr="00EF6709" w:rsidRDefault="008420C9">
      <w:pPr>
        <w:spacing w:before="9"/>
        <w:rPr>
          <w:sz w:val="20"/>
          <w:szCs w:val="20"/>
        </w:rPr>
      </w:pPr>
    </w:p>
    <w:p w:rsidR="000C7162" w:rsidRPr="00EF6709" w:rsidRDefault="000C7162">
      <w:pPr>
        <w:spacing w:before="9"/>
        <w:rPr>
          <w:sz w:val="20"/>
          <w:szCs w:val="20"/>
        </w:rPr>
      </w:pPr>
    </w:p>
    <w:p w:rsidR="000C7162" w:rsidRPr="00EF6709" w:rsidRDefault="000C7162">
      <w:pPr>
        <w:spacing w:before="9"/>
        <w:rPr>
          <w:sz w:val="20"/>
          <w:szCs w:val="20"/>
        </w:rPr>
      </w:pPr>
    </w:p>
    <w:p w:rsidR="000C7162" w:rsidRPr="00EF6709" w:rsidRDefault="000C7162">
      <w:pPr>
        <w:spacing w:before="9"/>
        <w:rPr>
          <w:sz w:val="20"/>
          <w:szCs w:val="20"/>
        </w:rPr>
      </w:pPr>
    </w:p>
    <w:p w:rsidR="000C7162" w:rsidRPr="00EF6709" w:rsidRDefault="000C7162">
      <w:pPr>
        <w:spacing w:before="9"/>
        <w:rPr>
          <w:sz w:val="20"/>
          <w:szCs w:val="20"/>
        </w:rPr>
      </w:pPr>
    </w:p>
    <w:p w:rsidR="000C7162" w:rsidRPr="00EF6709" w:rsidRDefault="000C7162">
      <w:pPr>
        <w:spacing w:before="9"/>
        <w:rPr>
          <w:sz w:val="20"/>
          <w:szCs w:val="20"/>
        </w:rPr>
      </w:pPr>
    </w:p>
    <w:p w:rsidR="000C7162" w:rsidRPr="00EF6709" w:rsidRDefault="000C7162">
      <w:pPr>
        <w:spacing w:before="9"/>
        <w:rPr>
          <w:sz w:val="20"/>
          <w:szCs w:val="20"/>
        </w:rPr>
      </w:pPr>
    </w:p>
    <w:p w:rsidR="000C7162" w:rsidRPr="00EF6709" w:rsidRDefault="000C7162">
      <w:pPr>
        <w:spacing w:before="9"/>
        <w:rPr>
          <w:sz w:val="20"/>
          <w:szCs w:val="20"/>
        </w:rPr>
      </w:pPr>
    </w:p>
    <w:p w:rsidR="000C7162" w:rsidRPr="00EF6709" w:rsidRDefault="000C7162">
      <w:pPr>
        <w:spacing w:before="9"/>
        <w:rPr>
          <w:sz w:val="20"/>
          <w:szCs w:val="20"/>
        </w:rPr>
      </w:pPr>
    </w:p>
    <w:p w:rsidR="000C7162" w:rsidRPr="00EF6709" w:rsidRDefault="000C7162">
      <w:pPr>
        <w:spacing w:before="9"/>
        <w:rPr>
          <w:sz w:val="20"/>
          <w:szCs w:val="20"/>
        </w:rPr>
      </w:pPr>
    </w:p>
    <w:p w:rsidR="000C7162" w:rsidRPr="00EF6709" w:rsidRDefault="000C7162">
      <w:pPr>
        <w:spacing w:before="9"/>
        <w:rPr>
          <w:sz w:val="20"/>
          <w:szCs w:val="20"/>
        </w:rPr>
      </w:pPr>
    </w:p>
    <w:p w:rsidR="000C7162" w:rsidRPr="00EF6709" w:rsidRDefault="000C7162">
      <w:pPr>
        <w:spacing w:before="9"/>
        <w:rPr>
          <w:sz w:val="20"/>
          <w:szCs w:val="20"/>
        </w:rPr>
      </w:pPr>
    </w:p>
    <w:p w:rsidR="000C7162" w:rsidRPr="00EF6709" w:rsidRDefault="000C7162">
      <w:pPr>
        <w:spacing w:before="9"/>
        <w:rPr>
          <w:sz w:val="20"/>
          <w:szCs w:val="20"/>
        </w:rPr>
      </w:pPr>
    </w:p>
    <w:p w:rsidR="000C7162" w:rsidRPr="00EF6709" w:rsidRDefault="000C7162">
      <w:pPr>
        <w:spacing w:before="9"/>
        <w:rPr>
          <w:sz w:val="20"/>
          <w:szCs w:val="20"/>
        </w:rPr>
      </w:pPr>
    </w:p>
    <w:p w:rsidR="000C7162" w:rsidRPr="006F30DC" w:rsidRDefault="004409D7" w:rsidP="006F30DC">
      <w:pPr>
        <w:pStyle w:val="ListParagraph"/>
        <w:numPr>
          <w:ilvl w:val="0"/>
          <w:numId w:val="1"/>
        </w:numPr>
        <w:tabs>
          <w:tab w:val="left" w:pos="537"/>
        </w:tabs>
        <w:ind w:hanging="240"/>
        <w:rPr>
          <w:sz w:val="16"/>
          <w:szCs w:val="16"/>
        </w:rPr>
      </w:pPr>
      <w:r w:rsidRPr="006F30DC">
        <w:rPr>
          <w:sz w:val="16"/>
          <w:szCs w:val="16"/>
        </w:rPr>
        <w:t>Information on the medium term implications will be provided if the cost of the policy is expected to be significantly different beyond the forward estimates period.</w:t>
      </w:r>
    </w:p>
    <w:p w:rsidR="008420C9" w:rsidRPr="00EF6709" w:rsidRDefault="004409D7">
      <w:pPr>
        <w:pStyle w:val="Heading2"/>
        <w:tabs>
          <w:tab w:val="left" w:pos="8014"/>
        </w:tabs>
        <w:spacing w:before="101"/>
        <w:rPr>
          <w:sz w:val="20"/>
          <w:szCs w:val="20"/>
        </w:rPr>
      </w:pPr>
      <w:r w:rsidRPr="00EF6709">
        <w:rPr>
          <w:sz w:val="20"/>
          <w:szCs w:val="20"/>
          <w:shd w:val="clear" w:color="auto" w:fill="E4E4E4"/>
        </w:rPr>
        <w:lastRenderedPageBreak/>
        <w:t>Background</w:t>
      </w:r>
      <w:r w:rsidRPr="00EF6709">
        <w:rPr>
          <w:spacing w:val="-12"/>
          <w:sz w:val="20"/>
          <w:szCs w:val="20"/>
          <w:shd w:val="clear" w:color="auto" w:fill="E4E4E4"/>
        </w:rPr>
        <w:t xml:space="preserve"> </w:t>
      </w:r>
      <w:r w:rsidRPr="00EF6709">
        <w:rPr>
          <w:sz w:val="20"/>
          <w:szCs w:val="20"/>
          <w:shd w:val="clear" w:color="auto" w:fill="E4E4E4"/>
        </w:rPr>
        <w:t>information</w:t>
      </w:r>
      <w:r w:rsidRPr="00EF6709">
        <w:rPr>
          <w:sz w:val="20"/>
          <w:szCs w:val="20"/>
          <w:shd w:val="clear" w:color="auto" w:fill="E4E4E4"/>
        </w:rPr>
        <w:tab/>
      </w:r>
    </w:p>
    <w:p w:rsidR="008420C9" w:rsidRPr="00EF6709" w:rsidRDefault="004409D7">
      <w:pPr>
        <w:pStyle w:val="Heading3"/>
        <w:spacing w:before="3"/>
      </w:pPr>
      <w:r w:rsidRPr="00EF6709">
        <w:t>Costing methodology used:</w:t>
      </w:r>
    </w:p>
    <w:p w:rsidR="00036452" w:rsidRPr="00EF6709" w:rsidRDefault="00036452">
      <w:pPr>
        <w:pStyle w:val="Heading3"/>
        <w:spacing w:before="3"/>
      </w:pPr>
    </w:p>
    <w:p w:rsidR="00036452" w:rsidRPr="00EF6709" w:rsidRDefault="00036452">
      <w:pPr>
        <w:pStyle w:val="Heading3"/>
        <w:spacing w:before="3"/>
        <w:rPr>
          <w:b w:val="0"/>
        </w:rPr>
      </w:pPr>
      <w:r w:rsidRPr="00EF6709">
        <w:rPr>
          <w:b w:val="0"/>
        </w:rPr>
        <w:t>Not applicable</w:t>
      </w:r>
      <w:r w:rsidR="00CA6F01" w:rsidRPr="00EF6709">
        <w:rPr>
          <w:b w:val="0"/>
        </w:rPr>
        <w:t>.</w:t>
      </w:r>
    </w:p>
    <w:p w:rsidR="008420C9" w:rsidRPr="00EF6709" w:rsidRDefault="008420C9">
      <w:pPr>
        <w:spacing w:before="1"/>
        <w:rPr>
          <w:b/>
          <w:sz w:val="20"/>
          <w:szCs w:val="20"/>
        </w:rPr>
      </w:pPr>
    </w:p>
    <w:p w:rsidR="008420C9" w:rsidRPr="00EF6709" w:rsidRDefault="004409D7">
      <w:pPr>
        <w:spacing w:before="188"/>
        <w:ind w:left="303"/>
        <w:rPr>
          <w:b/>
          <w:sz w:val="20"/>
          <w:szCs w:val="20"/>
        </w:rPr>
      </w:pPr>
      <w:r w:rsidRPr="00EF6709">
        <w:rPr>
          <w:b/>
          <w:sz w:val="20"/>
          <w:szCs w:val="20"/>
        </w:rPr>
        <w:t>Behavioural assumptions used (as appropriate).</w:t>
      </w:r>
    </w:p>
    <w:p w:rsidR="008420C9" w:rsidRPr="00EF6709" w:rsidRDefault="008420C9">
      <w:pPr>
        <w:spacing w:before="1"/>
        <w:rPr>
          <w:b/>
          <w:sz w:val="20"/>
          <w:szCs w:val="20"/>
        </w:rPr>
      </w:pPr>
    </w:p>
    <w:p w:rsidR="008420C9" w:rsidRPr="00EF6709" w:rsidRDefault="004409D7">
      <w:pPr>
        <w:ind w:left="303"/>
        <w:rPr>
          <w:sz w:val="20"/>
          <w:szCs w:val="20"/>
        </w:rPr>
      </w:pPr>
      <w:r w:rsidRPr="00EF6709">
        <w:rPr>
          <w:sz w:val="20"/>
          <w:szCs w:val="20"/>
        </w:rPr>
        <w:t xml:space="preserve">Not </w:t>
      </w:r>
      <w:r w:rsidR="000C596E" w:rsidRPr="00EF6709">
        <w:rPr>
          <w:sz w:val="20"/>
          <w:szCs w:val="20"/>
        </w:rPr>
        <w:t>applicable</w:t>
      </w:r>
      <w:r w:rsidR="00CA6F01" w:rsidRPr="00EF6709">
        <w:rPr>
          <w:sz w:val="20"/>
          <w:szCs w:val="20"/>
        </w:rPr>
        <w:t>.</w:t>
      </w:r>
    </w:p>
    <w:sectPr w:rsidR="008420C9" w:rsidRPr="00EF6709">
      <w:headerReference w:type="default" r:id="rId8"/>
      <w:pgSz w:w="11900" w:h="16850"/>
      <w:pgMar w:top="1400" w:right="1140" w:bottom="280" w:left="1000" w:header="10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B7" w:rsidRDefault="009D6BB7">
      <w:r>
        <w:separator/>
      </w:r>
    </w:p>
  </w:endnote>
  <w:endnote w:type="continuationSeparator" w:id="0">
    <w:p w:rsidR="009D6BB7" w:rsidRDefault="009D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B7" w:rsidRDefault="009D6BB7">
      <w:r>
        <w:separator/>
      </w:r>
    </w:p>
  </w:footnote>
  <w:footnote w:type="continuationSeparator" w:id="0">
    <w:p w:rsidR="009D6BB7" w:rsidRDefault="009D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C9" w:rsidRDefault="00A14EBF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4266565</wp:posOffset>
              </wp:positionH>
              <wp:positionV relativeFrom="page">
                <wp:posOffset>626745</wp:posOffset>
              </wp:positionV>
              <wp:extent cx="2510155" cy="18986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0C9" w:rsidRDefault="008420C9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95pt;margin-top:49.35pt;width:197.6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jbrA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" filled="f" stroked="f">
              <v:textbox inset="0,0,0,0">
                <w:txbxContent>
                  <w:p w:rsidR="008420C9" w:rsidRDefault="008420C9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15D0"/>
    <w:multiLevelType w:val="hybridMultilevel"/>
    <w:tmpl w:val="05248A08"/>
    <w:lvl w:ilvl="0" w:tplc="DF347C1A">
      <w:start w:val="1"/>
      <w:numFmt w:val="lowerLetter"/>
      <w:lvlText w:val="(%1)"/>
      <w:lvlJc w:val="left"/>
      <w:pPr>
        <w:ind w:left="543" w:hanging="24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705E378C">
      <w:numFmt w:val="bullet"/>
      <w:lvlText w:val=""/>
      <w:lvlJc w:val="left"/>
      <w:pPr>
        <w:ind w:left="1015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7AB6142C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38F09C70">
      <w:numFmt w:val="bullet"/>
      <w:lvlText w:val="•"/>
      <w:lvlJc w:val="left"/>
      <w:pPr>
        <w:ind w:left="2962" w:hanging="356"/>
      </w:pPr>
      <w:rPr>
        <w:rFonts w:hint="default"/>
      </w:rPr>
    </w:lvl>
    <w:lvl w:ilvl="4" w:tplc="F4FE6C5C">
      <w:numFmt w:val="bullet"/>
      <w:lvlText w:val="•"/>
      <w:lvlJc w:val="left"/>
      <w:pPr>
        <w:ind w:left="3933" w:hanging="356"/>
      </w:pPr>
      <w:rPr>
        <w:rFonts w:hint="default"/>
      </w:rPr>
    </w:lvl>
    <w:lvl w:ilvl="5" w:tplc="96721C98">
      <w:numFmt w:val="bullet"/>
      <w:lvlText w:val="•"/>
      <w:lvlJc w:val="left"/>
      <w:pPr>
        <w:ind w:left="4904" w:hanging="356"/>
      </w:pPr>
      <w:rPr>
        <w:rFonts w:hint="default"/>
      </w:rPr>
    </w:lvl>
    <w:lvl w:ilvl="6" w:tplc="7E82A460">
      <w:numFmt w:val="bullet"/>
      <w:lvlText w:val="•"/>
      <w:lvlJc w:val="left"/>
      <w:pPr>
        <w:ind w:left="5875" w:hanging="356"/>
      </w:pPr>
      <w:rPr>
        <w:rFonts w:hint="default"/>
      </w:rPr>
    </w:lvl>
    <w:lvl w:ilvl="7" w:tplc="A772749E">
      <w:numFmt w:val="bullet"/>
      <w:lvlText w:val="•"/>
      <w:lvlJc w:val="left"/>
      <w:pPr>
        <w:ind w:left="6846" w:hanging="356"/>
      </w:pPr>
      <w:rPr>
        <w:rFonts w:hint="default"/>
      </w:rPr>
    </w:lvl>
    <w:lvl w:ilvl="8" w:tplc="59DA8A4A">
      <w:numFmt w:val="bullet"/>
      <w:lvlText w:val="•"/>
      <w:lvlJc w:val="left"/>
      <w:pPr>
        <w:ind w:left="7817" w:hanging="356"/>
      </w:pPr>
      <w:rPr>
        <w:rFonts w:hint="default"/>
      </w:rPr>
    </w:lvl>
  </w:abstractNum>
  <w:abstractNum w:abstractNumId="1" w15:restartNumberingAfterBreak="0">
    <w:nsid w:val="3F5C73B7"/>
    <w:multiLevelType w:val="hybridMultilevel"/>
    <w:tmpl w:val="87F41D58"/>
    <w:lvl w:ilvl="0" w:tplc="6778BF7C">
      <w:start w:val="2022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9"/>
    <w:rsid w:val="00036452"/>
    <w:rsid w:val="000464B2"/>
    <w:rsid w:val="000B2790"/>
    <w:rsid w:val="000C596E"/>
    <w:rsid w:val="000C7162"/>
    <w:rsid w:val="000D5DFA"/>
    <w:rsid w:val="00112017"/>
    <w:rsid w:val="00117683"/>
    <w:rsid w:val="0024390F"/>
    <w:rsid w:val="0031247C"/>
    <w:rsid w:val="004409D7"/>
    <w:rsid w:val="004865D4"/>
    <w:rsid w:val="00520697"/>
    <w:rsid w:val="005343B1"/>
    <w:rsid w:val="0054730F"/>
    <w:rsid w:val="005771FC"/>
    <w:rsid w:val="00620081"/>
    <w:rsid w:val="00641E76"/>
    <w:rsid w:val="006A5A59"/>
    <w:rsid w:val="006E141F"/>
    <w:rsid w:val="006F30DC"/>
    <w:rsid w:val="00736EEE"/>
    <w:rsid w:val="00794124"/>
    <w:rsid w:val="007A6E94"/>
    <w:rsid w:val="007B4F5C"/>
    <w:rsid w:val="007E3F00"/>
    <w:rsid w:val="00840827"/>
    <w:rsid w:val="008420C9"/>
    <w:rsid w:val="008548A3"/>
    <w:rsid w:val="009D6BB7"/>
    <w:rsid w:val="00A14EBF"/>
    <w:rsid w:val="00A223A1"/>
    <w:rsid w:val="00AF2B82"/>
    <w:rsid w:val="00B07A77"/>
    <w:rsid w:val="00B37848"/>
    <w:rsid w:val="00B560DE"/>
    <w:rsid w:val="00C3320F"/>
    <w:rsid w:val="00C42AC8"/>
    <w:rsid w:val="00CA6E75"/>
    <w:rsid w:val="00CA6F01"/>
    <w:rsid w:val="00D27943"/>
    <w:rsid w:val="00DD7EF0"/>
    <w:rsid w:val="00EE4AD4"/>
    <w:rsid w:val="00EF6709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BD2DDD"/>
  <w15:docId w15:val="{4DF9FA36-5B55-47EE-AF05-428CD4FB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03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30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15" w:hanging="35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D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D7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1FC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3F0B432A</Template>
  <TotalTime>12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Circular</vt:lpstr>
    </vt:vector>
  </TitlesOfParts>
  <Company>Department of Finance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Circular</dc:title>
  <dc:creator>Christopher Law</dc:creator>
  <cp:lastModifiedBy>Hague, James</cp:lastModifiedBy>
  <cp:revision>15</cp:revision>
  <cp:lastPrinted>2019-05-10T04:21:00Z</cp:lastPrinted>
  <dcterms:created xsi:type="dcterms:W3CDTF">2019-05-13T01:04:00Z</dcterms:created>
  <dcterms:modified xsi:type="dcterms:W3CDTF">2019-05-13T06:33:00Z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2019-04-10T00:00:00Z</vt:filetime>
  </property>
</Properties>
</file>