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24"/>
      </w:tblGrid>
      <w:tr w:rsidR="008420C9" w:rsidTr="006A6DC4">
        <w:trPr>
          <w:trHeight w:val="244"/>
        </w:trPr>
        <w:tc>
          <w:tcPr>
            <w:tcW w:w="9325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2750DA">
              <w:rPr>
                <w:b/>
                <w:sz w:val="20"/>
              </w:rPr>
              <w:t xml:space="preserve"> </w:t>
            </w:r>
            <w:r w:rsidR="00011414">
              <w:rPr>
                <w:b/>
                <w:sz w:val="20"/>
              </w:rPr>
              <w:t xml:space="preserve">Name of proposal costed: </w:t>
            </w:r>
            <w:r w:rsidR="00011414" w:rsidRPr="00AA6785">
              <w:rPr>
                <w:b/>
                <w:sz w:val="20"/>
                <w:szCs w:val="20"/>
              </w:rPr>
              <w:t>Supporting the Kokoda Track</w:t>
            </w:r>
          </w:p>
        </w:tc>
      </w:tr>
      <w:tr w:rsidR="00011414" w:rsidTr="006A6DC4">
        <w:trPr>
          <w:trHeight w:val="496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COA051</w:t>
            </w:r>
          </w:p>
        </w:tc>
      </w:tr>
      <w:tr w:rsidR="00011414" w:rsidTr="006A6DC4">
        <w:trPr>
          <w:trHeight w:val="484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Th</w:t>
            </w:r>
            <w:r>
              <w:rPr>
                <w:sz w:val="20"/>
              </w:rPr>
              <w:t xml:space="preserve">e proposal </w:t>
            </w:r>
            <w:r w:rsidRPr="001A1CDD">
              <w:rPr>
                <w:sz w:val="20"/>
              </w:rPr>
              <w:t>would provide up to $10 million over three years from 2019-20 for projects that would commemorate the bonds between Australia and Papua New Guinea (PNG) from the Second World War</w:t>
            </w:r>
            <w:r>
              <w:rPr>
                <w:sz w:val="20"/>
              </w:rPr>
              <w:t>, particularly around</w:t>
            </w:r>
            <w:r w:rsidRPr="001A1CDD">
              <w:rPr>
                <w:sz w:val="20"/>
              </w:rPr>
              <w:t xml:space="preserve"> the Kokoda Track.</w:t>
            </w:r>
          </w:p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</w:p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Department of Veterans’ Affairs (</w:t>
            </w:r>
            <w:r w:rsidRPr="001A1CDD">
              <w:rPr>
                <w:sz w:val="20"/>
              </w:rPr>
              <w:t>DVA</w:t>
            </w:r>
            <w:r>
              <w:rPr>
                <w:sz w:val="20"/>
              </w:rPr>
              <w:t>)</w:t>
            </w:r>
            <w:r w:rsidRPr="001A1CDD">
              <w:rPr>
                <w:sz w:val="20"/>
              </w:rPr>
              <w:t xml:space="preserve"> and the Department of Foreign Affairs</w:t>
            </w:r>
            <w:r>
              <w:rPr>
                <w:sz w:val="20"/>
              </w:rPr>
              <w:t xml:space="preserve"> and Trade</w:t>
            </w:r>
            <w:r w:rsidRPr="001A1CDD">
              <w:rPr>
                <w:sz w:val="20"/>
              </w:rPr>
              <w:t xml:space="preserve"> (DF</w:t>
            </w:r>
            <w:r>
              <w:rPr>
                <w:sz w:val="20"/>
              </w:rPr>
              <w:t>A</w:t>
            </w:r>
            <w:r w:rsidRPr="001A1CDD">
              <w:rPr>
                <w:sz w:val="20"/>
              </w:rPr>
              <w:t>T) would work with the PNG Government on projects that could include</w:t>
            </w:r>
            <w:r>
              <w:rPr>
                <w:sz w:val="20"/>
              </w:rPr>
              <w:t xml:space="preserve"> investing in</w:t>
            </w:r>
            <w:r w:rsidRPr="00A118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A118E5">
              <w:rPr>
                <w:sz w:val="20"/>
              </w:rPr>
              <w:t>World War II/Kokoda collection at the</w:t>
            </w:r>
            <w:r w:rsidRPr="001A1CDD">
              <w:rPr>
                <w:sz w:val="20"/>
              </w:rPr>
              <w:t xml:space="preserve"> PNG National Museum</w:t>
            </w:r>
            <w:r>
              <w:rPr>
                <w:sz w:val="20"/>
              </w:rPr>
              <w:t xml:space="preserve"> and </w:t>
            </w:r>
            <w:r w:rsidRPr="001A1CDD">
              <w:rPr>
                <w:sz w:val="20"/>
              </w:rPr>
              <w:t>Gallery</w:t>
            </w:r>
            <w:r>
              <w:rPr>
                <w:sz w:val="20"/>
              </w:rPr>
              <w:t>;</w:t>
            </w:r>
            <w:r w:rsidRPr="001A1CDD">
              <w:rPr>
                <w:sz w:val="20"/>
              </w:rPr>
              <w:t xml:space="preserve"> upgrading the </w:t>
            </w:r>
            <w:r>
              <w:rPr>
                <w:sz w:val="20"/>
              </w:rPr>
              <w:t xml:space="preserve">national </w:t>
            </w:r>
            <w:r w:rsidRPr="001A1CDD">
              <w:rPr>
                <w:sz w:val="20"/>
              </w:rPr>
              <w:t xml:space="preserve">World War </w:t>
            </w:r>
            <w:r>
              <w:rPr>
                <w:sz w:val="20"/>
              </w:rPr>
              <w:t>II</w:t>
            </w:r>
            <w:r w:rsidRPr="001A1CDD">
              <w:rPr>
                <w:sz w:val="20"/>
              </w:rPr>
              <w:t xml:space="preserve"> memorial at Ela Beach; </w:t>
            </w:r>
            <w:r>
              <w:rPr>
                <w:sz w:val="20"/>
              </w:rPr>
              <w:t xml:space="preserve">building </w:t>
            </w:r>
            <w:r w:rsidRPr="001A1CDD">
              <w:rPr>
                <w:sz w:val="20"/>
              </w:rPr>
              <w:t xml:space="preserve">a new interpretive </w:t>
            </w:r>
            <w:proofErr w:type="spellStart"/>
            <w:r w:rsidRPr="001A1CDD">
              <w:rPr>
                <w:sz w:val="20"/>
              </w:rPr>
              <w:t>centr</w:t>
            </w:r>
            <w:r>
              <w:rPr>
                <w:sz w:val="20"/>
              </w:rPr>
              <w:t>e</w:t>
            </w:r>
            <w:proofErr w:type="spellEnd"/>
            <w:r w:rsidRPr="001A1CDD">
              <w:rPr>
                <w:sz w:val="20"/>
              </w:rPr>
              <w:t xml:space="preserve"> at </w:t>
            </w:r>
            <w:proofErr w:type="spellStart"/>
            <w:r w:rsidRPr="001A1CDD">
              <w:rPr>
                <w:sz w:val="20"/>
              </w:rPr>
              <w:t>Owers</w:t>
            </w:r>
            <w:proofErr w:type="spellEnd"/>
            <w:r w:rsidRPr="001A1CDD">
              <w:rPr>
                <w:sz w:val="20"/>
              </w:rPr>
              <w:t>’ Corner</w:t>
            </w:r>
            <w:r>
              <w:rPr>
                <w:sz w:val="20"/>
              </w:rPr>
              <w:t>;</w:t>
            </w:r>
            <w:r w:rsidRPr="001A1CDD">
              <w:rPr>
                <w:sz w:val="20"/>
              </w:rPr>
              <w:t xml:space="preserve"> </w:t>
            </w:r>
            <w:r>
              <w:rPr>
                <w:sz w:val="20"/>
              </w:rPr>
              <w:t>funding to</w:t>
            </w:r>
            <w:r w:rsidRPr="001A1CDD">
              <w:rPr>
                <w:sz w:val="20"/>
              </w:rPr>
              <w:t xml:space="preserve"> support</w:t>
            </w:r>
            <w:r>
              <w:rPr>
                <w:sz w:val="20"/>
              </w:rPr>
              <w:t xml:space="preserve"> </w:t>
            </w:r>
            <w:r w:rsidRPr="001A1CDD">
              <w:rPr>
                <w:sz w:val="20"/>
              </w:rPr>
              <w:t>tourism</w:t>
            </w:r>
            <w:r>
              <w:rPr>
                <w:sz w:val="20"/>
              </w:rPr>
              <w:t xml:space="preserve"> related activities along the Kokoda Track; and</w:t>
            </w:r>
            <w:r w:rsidRPr="001A1CDD">
              <w:rPr>
                <w:sz w:val="20"/>
              </w:rPr>
              <w:t xml:space="preserve"> </w:t>
            </w:r>
            <w:r>
              <w:rPr>
                <w:sz w:val="20"/>
              </w:rPr>
              <w:t>helping n</w:t>
            </w:r>
            <w:r w:rsidRPr="00A118E5">
              <w:rPr>
                <w:sz w:val="20"/>
              </w:rPr>
              <w:t>on</w:t>
            </w:r>
            <w:r>
              <w:rPr>
                <w:sz w:val="20"/>
              </w:rPr>
              <w:noBreakHyphen/>
              <w:t>g</w:t>
            </w:r>
            <w:r w:rsidRPr="00A118E5">
              <w:rPr>
                <w:sz w:val="20"/>
              </w:rPr>
              <w:t xml:space="preserve">overnment </w:t>
            </w:r>
            <w:proofErr w:type="spellStart"/>
            <w:r>
              <w:rPr>
                <w:sz w:val="20"/>
              </w:rPr>
              <w:t>o</w:t>
            </w:r>
            <w:r w:rsidRPr="00A118E5">
              <w:rPr>
                <w:sz w:val="20"/>
              </w:rPr>
              <w:t>rgani</w:t>
            </w:r>
            <w:r>
              <w:rPr>
                <w:sz w:val="20"/>
              </w:rPr>
              <w:t>s</w:t>
            </w:r>
            <w:r w:rsidRPr="00A118E5">
              <w:rPr>
                <w:sz w:val="20"/>
              </w:rPr>
              <w:t>ations</w:t>
            </w:r>
            <w:proofErr w:type="spellEnd"/>
            <w:r w:rsidRPr="00A118E5">
              <w:rPr>
                <w:sz w:val="20"/>
              </w:rPr>
              <w:t xml:space="preserve"> to strengthen the quality of health and education services for communities along the Kokoda Track</w:t>
            </w:r>
            <w:r>
              <w:rPr>
                <w:sz w:val="20"/>
              </w:rPr>
              <w:t>.</w:t>
            </w:r>
          </w:p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</w:p>
        </w:tc>
      </w:tr>
      <w:tr w:rsidR="00011414" w:rsidTr="006A6DC4">
        <w:trPr>
          <w:trHeight w:val="486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Terminating</w:t>
            </w:r>
            <w:r>
              <w:rPr>
                <w:sz w:val="20"/>
              </w:rPr>
              <w:t xml:space="preserve"> </w:t>
            </w:r>
            <w:r w:rsidRPr="001A1CDD">
              <w:rPr>
                <w:sz w:val="20"/>
              </w:rPr>
              <w:t>30</w:t>
            </w:r>
            <w:r>
              <w:rPr>
                <w:sz w:val="20"/>
              </w:rPr>
              <w:t> </w:t>
            </w:r>
            <w:r w:rsidRPr="001A1CDD">
              <w:rPr>
                <w:sz w:val="20"/>
              </w:rPr>
              <w:t>June 2022</w:t>
            </w:r>
          </w:p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</w:p>
        </w:tc>
      </w:tr>
      <w:tr w:rsidR="00011414" w:rsidTr="006A6DC4">
        <w:trPr>
          <w:trHeight w:val="480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Prime Minister</w:t>
            </w:r>
          </w:p>
        </w:tc>
      </w:tr>
      <w:tr w:rsidR="00011414" w:rsidTr="006A6DC4">
        <w:trPr>
          <w:trHeight w:val="484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9 May 2019</w:t>
            </w:r>
          </w:p>
        </w:tc>
      </w:tr>
      <w:tr w:rsidR="00011414" w:rsidTr="006A6DC4">
        <w:trPr>
          <w:trHeight w:val="486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324" w:type="dxa"/>
          </w:tcPr>
          <w:p w:rsidR="00011414" w:rsidRPr="00B0011B" w:rsidRDefault="00011414" w:rsidP="00011414">
            <w:pPr>
              <w:pStyle w:val="TableParagraph"/>
              <w:rPr>
                <w:sz w:val="20"/>
              </w:rPr>
            </w:pPr>
            <w:r w:rsidRPr="00B0011B">
              <w:rPr>
                <w:sz w:val="20"/>
              </w:rPr>
              <w:t>24 April 2019</w:t>
            </w:r>
          </w:p>
        </w:tc>
      </w:tr>
      <w:tr w:rsidR="00011414" w:rsidTr="006A6DC4">
        <w:trPr>
          <w:trHeight w:val="242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324" w:type="dxa"/>
          </w:tcPr>
          <w:p w:rsidR="00011414" w:rsidRPr="00B0011B" w:rsidRDefault="00011414" w:rsidP="00011414">
            <w:pPr>
              <w:pStyle w:val="TableParagraph"/>
              <w:rPr>
                <w:sz w:val="20"/>
              </w:rPr>
            </w:pPr>
            <w:r w:rsidRPr="00B0011B">
              <w:rPr>
                <w:sz w:val="20"/>
              </w:rPr>
              <w:t>15 May 2019</w:t>
            </w:r>
            <w:r w:rsidRPr="00B0011B">
              <w:rPr>
                <w:sz w:val="20"/>
              </w:rPr>
              <w:br/>
            </w:r>
          </w:p>
        </w:tc>
      </w:tr>
      <w:tr w:rsidR="00011414" w:rsidTr="006A6DC4">
        <w:trPr>
          <w:trHeight w:val="729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Not applicable.</w:t>
            </w:r>
          </w:p>
        </w:tc>
      </w:tr>
      <w:tr w:rsidR="00011414" w:rsidTr="006A6DC4">
        <w:trPr>
          <w:trHeight w:val="729"/>
        </w:trPr>
        <w:tc>
          <w:tcPr>
            <w:tcW w:w="4001" w:type="dxa"/>
          </w:tcPr>
          <w:p w:rsidR="00011414" w:rsidRDefault="00011414" w:rsidP="00011414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324" w:type="dxa"/>
          </w:tcPr>
          <w:p w:rsidR="00011414" w:rsidRPr="001A1CDD" w:rsidRDefault="00011414" w:rsidP="00011414">
            <w:pPr>
              <w:pStyle w:val="TableParagraph"/>
              <w:rPr>
                <w:sz w:val="20"/>
              </w:rPr>
            </w:pPr>
            <w:r w:rsidRPr="001A1CDD">
              <w:rPr>
                <w:sz w:val="20"/>
              </w:rPr>
              <w:t>Not applicable.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2750DA" w:rsidRDefault="002750DA">
      <w:pPr>
        <w:pStyle w:val="BodyText"/>
        <w:ind w:left="303" w:right="320"/>
      </w:pPr>
    </w:p>
    <w:p w:rsidR="002750DA" w:rsidRDefault="002750DA">
      <w:pPr>
        <w:pStyle w:val="BodyText"/>
        <w:ind w:left="303" w:right="320"/>
      </w:pPr>
    </w:p>
    <w:p w:rsidR="008420C9" w:rsidRDefault="008420C9">
      <w:pPr>
        <w:pStyle w:val="BodyText"/>
        <w:spacing w:before="8"/>
      </w:pP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011414">
        <w:trPr>
          <w:trHeight w:val="242"/>
        </w:trPr>
        <w:tc>
          <w:tcPr>
            <w:tcW w:w="1651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left="2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011414" w:rsidRPr="00FE2A98" w:rsidRDefault="00011414" w:rsidP="00011414">
            <w:pPr>
              <w:pStyle w:val="TableParagraph"/>
              <w:spacing w:line="222" w:lineRule="exact"/>
              <w:ind w:right="-15"/>
              <w:jc w:val="center"/>
              <w:rPr>
                <w:sz w:val="20"/>
                <w:szCs w:val="20"/>
              </w:rPr>
            </w:pPr>
            <w:r w:rsidRPr="00FE2A98">
              <w:rPr>
                <w:sz w:val="20"/>
                <w:szCs w:val="20"/>
              </w:rPr>
              <w:t>2022-23</w:t>
            </w:r>
          </w:p>
        </w:tc>
      </w:tr>
      <w:tr w:rsidR="00011414">
        <w:trPr>
          <w:trHeight w:val="436"/>
        </w:trPr>
        <w:tc>
          <w:tcPr>
            <w:tcW w:w="1651" w:type="dxa"/>
          </w:tcPr>
          <w:p w:rsidR="00011414" w:rsidRPr="009D7254" w:rsidRDefault="00011414" w:rsidP="00011414">
            <w:pPr>
              <w:pStyle w:val="TableParagraph"/>
              <w:spacing w:before="8" w:line="218" w:lineRule="exact"/>
              <w:ind w:left="2" w:right="146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Fiscal Balance ($m)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-2.0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-3.0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0.0</w:t>
            </w:r>
          </w:p>
        </w:tc>
      </w:tr>
      <w:tr w:rsidR="00011414">
        <w:trPr>
          <w:trHeight w:val="431"/>
        </w:trPr>
        <w:tc>
          <w:tcPr>
            <w:tcW w:w="1651" w:type="dxa"/>
          </w:tcPr>
          <w:p w:rsidR="00011414" w:rsidRPr="009D7254" w:rsidRDefault="00011414" w:rsidP="00011414">
            <w:pPr>
              <w:pStyle w:val="TableParagraph"/>
              <w:spacing w:before="8" w:line="218" w:lineRule="exact"/>
              <w:ind w:left="2" w:right="146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Underlying Cash Balance ($m)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-2.0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-3.0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-5.0</w:t>
            </w:r>
          </w:p>
        </w:tc>
        <w:tc>
          <w:tcPr>
            <w:tcW w:w="1538" w:type="dxa"/>
          </w:tcPr>
          <w:p w:rsidR="00011414" w:rsidRPr="009D7254" w:rsidRDefault="00011414" w:rsidP="00011414">
            <w:pPr>
              <w:pStyle w:val="TableParagraph"/>
              <w:spacing w:before="8"/>
              <w:ind w:right="146"/>
              <w:jc w:val="center"/>
              <w:rPr>
                <w:sz w:val="20"/>
                <w:szCs w:val="20"/>
              </w:rPr>
            </w:pPr>
            <w:r w:rsidRPr="009D7254">
              <w:rPr>
                <w:sz w:val="20"/>
                <w:szCs w:val="20"/>
              </w:rPr>
              <w:t>0.0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tbl>
      <w:tblPr>
        <w:tblW w:w="979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011414" w:rsidTr="00011414">
        <w:trPr>
          <w:trHeight w:val="1094"/>
        </w:trPr>
        <w:tc>
          <w:tcPr>
            <w:tcW w:w="9790" w:type="dxa"/>
          </w:tcPr>
          <w:p w:rsidR="00011414" w:rsidRDefault="00011414" w:rsidP="00005945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Where relevant, state that the proposal has been costed as a defined or specified amount.</w:t>
            </w:r>
          </w:p>
          <w:p w:rsidR="00011414" w:rsidRDefault="00011414" w:rsidP="00005945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011414" w:rsidRDefault="00011414" w:rsidP="0000594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This proposal has been costed as a defined amount.</w:t>
            </w:r>
          </w:p>
        </w:tc>
      </w:tr>
      <w:tr w:rsidR="00011414" w:rsidTr="00011414">
        <w:trPr>
          <w:trHeight w:val="607"/>
        </w:trPr>
        <w:tc>
          <w:tcPr>
            <w:tcW w:w="9790" w:type="dxa"/>
          </w:tcPr>
          <w:p w:rsidR="00011414" w:rsidRDefault="00011414" w:rsidP="00005945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</w:tbl>
    <w:p w:rsidR="00DD575A" w:rsidRDefault="00011414" w:rsidP="00011414">
      <w:pPr>
        <w:pStyle w:val="TableParagraph"/>
        <w:ind w:left="200"/>
        <w:rPr>
          <w:sz w:val="20"/>
        </w:rPr>
      </w:pPr>
      <w:r>
        <w:rPr>
          <w:sz w:val="20"/>
        </w:rPr>
        <w:t xml:space="preserve">  </w:t>
      </w:r>
    </w:p>
    <w:p w:rsidR="00011414" w:rsidRDefault="00DD575A" w:rsidP="00011414">
      <w:pPr>
        <w:pStyle w:val="TableParagraph"/>
        <w:ind w:left="200"/>
        <w:rPr>
          <w:sz w:val="18"/>
        </w:rPr>
      </w:pPr>
      <w:r>
        <w:rPr>
          <w:sz w:val="20"/>
        </w:rPr>
        <w:t xml:space="preserve">  </w:t>
      </w:r>
      <w:bookmarkStart w:id="0" w:name="_GoBack"/>
      <w:bookmarkEnd w:id="0"/>
      <w:r w:rsidR="00011414">
        <w:rPr>
          <w:sz w:val="20"/>
        </w:rPr>
        <w:t>Not applicable.</w:t>
      </w:r>
    </w:p>
    <w:p w:rsidR="00011414" w:rsidRDefault="00011414" w:rsidP="00011414">
      <w:pPr>
        <w:pStyle w:val="BodyText"/>
        <w:rPr>
          <w:sz w:val="18"/>
        </w:rPr>
      </w:pPr>
    </w:p>
    <w:p w:rsidR="00011414" w:rsidRDefault="00011414" w:rsidP="00011414">
      <w:pPr>
        <w:rPr>
          <w:rFonts w:ascii="Arial"/>
          <w:sz w:val="15"/>
        </w:rPr>
      </w:pPr>
      <w:bookmarkStart w:id="1" w:name="_bookmark0"/>
      <w:bookmarkEnd w:id="1"/>
    </w:p>
    <w:p w:rsidR="00011414" w:rsidRDefault="00011414" w:rsidP="00011414">
      <w:pPr>
        <w:ind w:left="303" w:right="-140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:rsidR="00011414" w:rsidRDefault="00011414" w:rsidP="00011414">
      <w:pPr>
        <w:spacing w:before="1"/>
        <w:ind w:right="-140"/>
        <w:rPr>
          <w:b/>
          <w:sz w:val="20"/>
        </w:rPr>
      </w:pPr>
    </w:p>
    <w:p w:rsidR="00011414" w:rsidRDefault="00011414" w:rsidP="00011414">
      <w:pPr>
        <w:spacing w:before="10"/>
        <w:ind w:right="-140" w:firstLine="303"/>
        <w:rPr>
          <w:sz w:val="19"/>
        </w:rPr>
      </w:pPr>
      <w:r w:rsidRPr="00730162">
        <w:rPr>
          <w:sz w:val="19"/>
        </w:rPr>
        <w:t>Not applicable.</w:t>
      </w:r>
    </w:p>
    <w:p w:rsidR="00011414" w:rsidRDefault="00011414" w:rsidP="00011414">
      <w:pPr>
        <w:spacing w:before="10"/>
        <w:ind w:right="-140"/>
        <w:rPr>
          <w:sz w:val="19"/>
        </w:rPr>
      </w:pPr>
    </w:p>
    <w:p w:rsidR="00011414" w:rsidRDefault="00011414" w:rsidP="00011414">
      <w:pPr>
        <w:spacing w:before="1"/>
        <w:ind w:left="303" w:right="-140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011414" w:rsidRDefault="00011414" w:rsidP="00011414">
      <w:pPr>
        <w:ind w:right="-140"/>
        <w:rPr>
          <w:b/>
          <w:sz w:val="20"/>
        </w:rPr>
      </w:pPr>
    </w:p>
    <w:p w:rsidR="00011414" w:rsidRDefault="00011414" w:rsidP="00011414">
      <w:pPr>
        <w:ind w:right="-140" w:firstLine="303"/>
        <w:rPr>
          <w:sz w:val="20"/>
        </w:rPr>
      </w:pPr>
      <w:r>
        <w:rPr>
          <w:sz w:val="20"/>
        </w:rPr>
        <w:t>Not applicable.</w:t>
      </w:r>
    </w:p>
    <w:p w:rsidR="00011414" w:rsidRDefault="00011414" w:rsidP="00011414">
      <w:pPr>
        <w:spacing w:before="1"/>
        <w:rPr>
          <w:sz w:val="20"/>
        </w:rPr>
      </w:pPr>
    </w:p>
    <w:p w:rsidR="00011414" w:rsidRDefault="00011414" w:rsidP="00011414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011414" w:rsidRDefault="00011414" w:rsidP="00011414">
      <w:pPr>
        <w:spacing w:before="11"/>
        <w:rPr>
          <w:b/>
          <w:sz w:val="19"/>
        </w:rPr>
      </w:pPr>
    </w:p>
    <w:p w:rsidR="00011414" w:rsidRDefault="00011414" w:rsidP="00011414">
      <w:pPr>
        <w:ind w:left="303"/>
        <w:rPr>
          <w:sz w:val="20"/>
        </w:rPr>
      </w:pPr>
      <w:r w:rsidRPr="00303026">
        <w:rPr>
          <w:sz w:val="20"/>
        </w:rPr>
        <w:t>Consistent with the costing request</w:t>
      </w:r>
      <w:r>
        <w:rPr>
          <w:sz w:val="20"/>
        </w:rPr>
        <w:t>, the costing assumes that</w:t>
      </w:r>
      <w:r w:rsidRPr="00303026">
        <w:rPr>
          <w:sz w:val="20"/>
        </w:rPr>
        <w:t xml:space="preserve"> any operating or capital expenses w</w:t>
      </w:r>
      <w:r>
        <w:rPr>
          <w:sz w:val="20"/>
        </w:rPr>
        <w:t>ould</w:t>
      </w:r>
      <w:r w:rsidRPr="00303026">
        <w:rPr>
          <w:sz w:val="20"/>
        </w:rPr>
        <w:t xml:space="preserve"> be absorbed by</w:t>
      </w:r>
      <w:r w:rsidRPr="00303026" w:rsidDel="00303026">
        <w:rPr>
          <w:sz w:val="20"/>
        </w:rPr>
        <w:t xml:space="preserve"> </w:t>
      </w:r>
      <w:r>
        <w:rPr>
          <w:sz w:val="20"/>
        </w:rPr>
        <w:t>DVA and/or DFAT.</w:t>
      </w:r>
    </w:p>
    <w:p w:rsidR="00011414" w:rsidRDefault="00011414" w:rsidP="00011414">
      <w:pPr>
        <w:ind w:left="303"/>
        <w:rPr>
          <w:sz w:val="20"/>
        </w:rPr>
      </w:pPr>
      <w:r>
        <w:rPr>
          <w:sz w:val="20"/>
        </w:rPr>
        <w:t xml:space="preserve"> </w:t>
      </w:r>
    </w:p>
    <w:p w:rsidR="00011414" w:rsidRDefault="00011414" w:rsidP="00011414">
      <w:pPr>
        <w:ind w:left="303" w:right="40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011414" w:rsidRDefault="00011414" w:rsidP="00011414">
      <w:pPr>
        <w:spacing w:before="12"/>
        <w:ind w:right="40"/>
        <w:rPr>
          <w:b/>
          <w:sz w:val="19"/>
        </w:rPr>
      </w:pPr>
    </w:p>
    <w:p w:rsidR="00011414" w:rsidRDefault="00011414" w:rsidP="00011414">
      <w:pPr>
        <w:ind w:left="303" w:right="40"/>
        <w:rPr>
          <w:sz w:val="20"/>
        </w:rPr>
      </w:pPr>
      <w:r>
        <w:rPr>
          <w:sz w:val="20"/>
        </w:rPr>
        <w:t>Not applicable.</w:t>
      </w:r>
    </w:p>
    <w:p w:rsidR="00011414" w:rsidRPr="004C0099" w:rsidRDefault="00011414" w:rsidP="00011414">
      <w:pPr>
        <w:spacing w:before="7"/>
        <w:ind w:right="40"/>
        <w:rPr>
          <w:sz w:val="20"/>
          <w:szCs w:val="20"/>
        </w:rPr>
      </w:pPr>
    </w:p>
    <w:p w:rsidR="00011414" w:rsidRDefault="00011414" w:rsidP="00011414">
      <w:pPr>
        <w:spacing w:line="276" w:lineRule="auto"/>
        <w:ind w:left="303" w:right="40"/>
        <w:rPr>
          <w:b/>
          <w:sz w:val="20"/>
          <w:szCs w:val="20"/>
        </w:rPr>
      </w:pPr>
      <w:r w:rsidRPr="004C0099">
        <w:rPr>
          <w:b/>
          <w:sz w:val="20"/>
          <w:szCs w:val="20"/>
        </w:rPr>
        <w:t>Other comments (including reasons for significant differences between the estimated impact on the fiscal and underlying cash balances).</w:t>
      </w:r>
    </w:p>
    <w:p w:rsidR="00011414" w:rsidRDefault="00011414" w:rsidP="00011414">
      <w:pPr>
        <w:ind w:left="303" w:right="40"/>
        <w:rPr>
          <w:sz w:val="20"/>
        </w:rPr>
      </w:pPr>
    </w:p>
    <w:p w:rsidR="00011414" w:rsidRDefault="00011414" w:rsidP="00011414">
      <w:pPr>
        <w:ind w:left="303" w:right="40"/>
        <w:rPr>
          <w:sz w:val="20"/>
        </w:rPr>
      </w:pPr>
      <w:r>
        <w:rPr>
          <w:sz w:val="20"/>
        </w:rPr>
        <w:t>Not applicable.</w:t>
      </w:r>
    </w:p>
    <w:p w:rsidR="00011414" w:rsidRDefault="00011414" w:rsidP="00011414">
      <w:pPr>
        <w:spacing w:before="204"/>
        <w:ind w:left="303" w:right="40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011414" w:rsidRDefault="00011414" w:rsidP="00011414">
      <w:pPr>
        <w:spacing w:before="1"/>
        <w:ind w:right="40"/>
        <w:rPr>
          <w:b/>
          <w:sz w:val="20"/>
        </w:rPr>
      </w:pPr>
    </w:p>
    <w:p w:rsidR="00011414" w:rsidRDefault="00011414" w:rsidP="00011414">
      <w:pPr>
        <w:ind w:left="303" w:right="40"/>
        <w:rPr>
          <w:sz w:val="20"/>
        </w:rPr>
      </w:pP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z w:val="20"/>
        </w:rPr>
        <w:t>applicable.</w:t>
      </w: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ind w:left="303"/>
        <w:rPr>
          <w:sz w:val="20"/>
        </w:rPr>
      </w:pPr>
    </w:p>
    <w:p w:rsidR="00011414" w:rsidRDefault="00011414" w:rsidP="00011414">
      <w:pPr>
        <w:spacing w:before="9"/>
        <w:rPr>
          <w:sz w:val="19"/>
        </w:rPr>
      </w:pPr>
    </w:p>
    <w:p w:rsidR="00011414" w:rsidRDefault="00011414" w:rsidP="00011414">
      <w:pPr>
        <w:pStyle w:val="ListParagraph"/>
        <w:numPr>
          <w:ilvl w:val="0"/>
          <w:numId w:val="1"/>
        </w:numPr>
        <w:tabs>
          <w:tab w:val="left" w:pos="303"/>
        </w:tabs>
        <w:ind w:left="284" w:right="103" w:firstLine="19"/>
        <w:jc w:val="both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:rsidR="00011414" w:rsidRDefault="00011414" w:rsidP="00011414">
      <w:pPr>
        <w:rPr>
          <w:rFonts w:ascii="Arial" w:eastAsia="Arial" w:hAnsi="Arial" w:cs="Arial"/>
          <w:szCs w:val="16"/>
        </w:rPr>
      </w:pPr>
      <w:r>
        <w:br w:type="page"/>
      </w:r>
    </w:p>
    <w:p w:rsidR="00011414" w:rsidRDefault="00011414" w:rsidP="00011414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:rsidR="00011414" w:rsidRDefault="00011414" w:rsidP="00011414">
      <w:pPr>
        <w:pStyle w:val="Heading3"/>
        <w:spacing w:before="3"/>
      </w:pPr>
      <w:r>
        <w:t>Costing methodology used.</w:t>
      </w:r>
    </w:p>
    <w:p w:rsidR="00011414" w:rsidRDefault="00011414" w:rsidP="00011414">
      <w:pPr>
        <w:spacing w:before="1"/>
        <w:rPr>
          <w:b/>
          <w:sz w:val="20"/>
        </w:rPr>
      </w:pPr>
    </w:p>
    <w:p w:rsidR="00011414" w:rsidRPr="003513B4" w:rsidRDefault="00011414" w:rsidP="00011414">
      <w:pPr>
        <w:ind w:left="303"/>
        <w:rPr>
          <w:sz w:val="20"/>
          <w:szCs w:val="20"/>
        </w:rPr>
      </w:pPr>
      <w:r w:rsidRPr="003513B4">
        <w:rPr>
          <w:sz w:val="20"/>
          <w:szCs w:val="20"/>
        </w:rPr>
        <w:t xml:space="preserve">The costing assumes that </w:t>
      </w:r>
      <w:r w:rsidRPr="00791A5C">
        <w:rPr>
          <w:sz w:val="20"/>
          <w:szCs w:val="20"/>
        </w:rPr>
        <w:t xml:space="preserve">this proposal </w:t>
      </w:r>
      <w:r w:rsidRPr="003513B4">
        <w:rPr>
          <w:sz w:val="20"/>
          <w:szCs w:val="20"/>
        </w:rPr>
        <w:t>would commence 1 July 2019 and:</w:t>
      </w:r>
    </w:p>
    <w:p w:rsidR="00011414" w:rsidRPr="00791A5C" w:rsidRDefault="00011414" w:rsidP="00011414">
      <w:pPr>
        <w:ind w:left="303"/>
        <w:rPr>
          <w:sz w:val="20"/>
          <w:szCs w:val="20"/>
        </w:rPr>
      </w:pPr>
    </w:p>
    <w:p w:rsidR="00011414" w:rsidRPr="00791A5C" w:rsidRDefault="00011414" w:rsidP="00011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1A5C">
        <w:rPr>
          <w:rFonts w:ascii="Verdana" w:hAnsi="Verdana"/>
          <w:sz w:val="20"/>
          <w:szCs w:val="20"/>
        </w:rPr>
        <w:t>that departmental expenses would be absorbed by the department undertaking that activity; and</w:t>
      </w:r>
    </w:p>
    <w:p w:rsidR="00011414" w:rsidRPr="00791A5C" w:rsidRDefault="00011414" w:rsidP="0001141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791A5C">
        <w:rPr>
          <w:rFonts w:ascii="Verdana" w:hAnsi="Verdana"/>
          <w:sz w:val="20"/>
          <w:szCs w:val="20"/>
        </w:rPr>
        <w:t>the</w:t>
      </w:r>
      <w:proofErr w:type="gramEnd"/>
      <w:r w:rsidRPr="00791A5C">
        <w:rPr>
          <w:rFonts w:ascii="Verdana" w:hAnsi="Verdana"/>
          <w:sz w:val="20"/>
          <w:szCs w:val="20"/>
        </w:rPr>
        <w:t xml:space="preserve"> projects funded would be subject to agreement between the Australian and PNG Governments, local PNG landholders and non-government </w:t>
      </w:r>
      <w:proofErr w:type="spellStart"/>
      <w:r w:rsidRPr="00791A5C">
        <w:rPr>
          <w:rFonts w:ascii="Verdana" w:hAnsi="Verdana"/>
          <w:sz w:val="20"/>
          <w:szCs w:val="20"/>
        </w:rPr>
        <w:t>organisations</w:t>
      </w:r>
      <w:proofErr w:type="spellEnd"/>
      <w:r w:rsidRPr="00791A5C">
        <w:rPr>
          <w:rFonts w:ascii="Verdana" w:hAnsi="Verdana"/>
          <w:sz w:val="20"/>
          <w:szCs w:val="20"/>
        </w:rPr>
        <w:t>.</w:t>
      </w:r>
    </w:p>
    <w:p w:rsidR="00011414" w:rsidRDefault="00011414" w:rsidP="00011414">
      <w:pPr>
        <w:rPr>
          <w:b/>
          <w:sz w:val="24"/>
        </w:rPr>
      </w:pPr>
    </w:p>
    <w:p w:rsidR="00011414" w:rsidRDefault="00011414" w:rsidP="00011414">
      <w:pPr>
        <w:ind w:left="301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assumptions used (as appropriate).</w:t>
      </w:r>
    </w:p>
    <w:p w:rsidR="00011414" w:rsidRDefault="00011414" w:rsidP="00011414">
      <w:pPr>
        <w:spacing w:before="1"/>
        <w:rPr>
          <w:b/>
          <w:sz w:val="20"/>
        </w:rPr>
      </w:pPr>
    </w:p>
    <w:p w:rsidR="00011414" w:rsidRDefault="00011414" w:rsidP="00011414">
      <w:pPr>
        <w:ind w:left="303"/>
        <w:rPr>
          <w:rFonts w:ascii="Arial"/>
          <w:position w:val="5"/>
          <w:sz w:val="10"/>
        </w:rPr>
      </w:pPr>
      <w:r>
        <w:rPr>
          <w:sz w:val="20"/>
        </w:rPr>
        <w:t>Not applicable.</w:t>
      </w:r>
    </w:p>
    <w:p w:rsidR="008420C9" w:rsidRDefault="008420C9">
      <w:pPr>
        <w:ind w:left="303"/>
        <w:rPr>
          <w:sz w:val="20"/>
        </w:rPr>
      </w:pP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8C" w:rsidRDefault="004409D7">
      <w:r>
        <w:separator/>
      </w:r>
    </w:p>
  </w:endnote>
  <w:endnote w:type="continuationSeparator" w:id="0">
    <w:p w:rsidR="00FC088C" w:rsidRDefault="004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8C" w:rsidRDefault="004409D7">
      <w:r>
        <w:separator/>
      </w:r>
    </w:p>
  </w:footnote>
  <w:footnote w:type="continuationSeparator" w:id="0">
    <w:p w:rsidR="00FC088C" w:rsidRDefault="0044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DD57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5.95pt;margin-top:49.35pt;width:197.65pt;height:14.95pt;z-index:-251658752;mso-position-horizontal-relative:page;mso-position-vertical-relative:page" filled="f" stroked="f">
          <v:textbox inset="0,0,0,0">
            <w:txbxContent>
              <w:p w:rsidR="008420C9" w:rsidRDefault="008420C9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" w15:restartNumberingAfterBreak="0">
    <w:nsid w:val="2D085893"/>
    <w:multiLevelType w:val="hybridMultilevel"/>
    <w:tmpl w:val="6CEE6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20C9"/>
    <w:rsid w:val="00011414"/>
    <w:rsid w:val="0021014E"/>
    <w:rsid w:val="002750DA"/>
    <w:rsid w:val="004409D7"/>
    <w:rsid w:val="00575F0D"/>
    <w:rsid w:val="005F4FA1"/>
    <w:rsid w:val="006A6DC4"/>
    <w:rsid w:val="008420C9"/>
    <w:rsid w:val="00A330C9"/>
    <w:rsid w:val="00DD575A"/>
    <w:rsid w:val="00E54530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B630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customStyle="1" w:styleId="highlightedtext">
    <w:name w:val="highlighted text"/>
    <w:basedOn w:val="Normal"/>
    <w:link w:val="highlightedtextChar"/>
    <w:qFormat/>
    <w:rsid w:val="00575F0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/>
      <w:autoSpaceDN/>
      <w:spacing w:before="180" w:line="280" w:lineRule="atLeast"/>
      <w:jc w:val="center"/>
    </w:pPr>
    <w:rPr>
      <w:rFonts w:asciiTheme="minorHAnsi" w:eastAsiaTheme="minorHAnsi" w:hAnsiTheme="minorHAnsi" w:cstheme="minorBidi"/>
      <w:b/>
      <w:iCs/>
      <w:color w:val="4F6228" w:themeColor="accent3" w:themeShade="80"/>
      <w:lang w:val="en-AU"/>
    </w:rPr>
  </w:style>
  <w:style w:type="character" w:customStyle="1" w:styleId="highlightedtextChar">
    <w:name w:val="highlighted text Char"/>
    <w:basedOn w:val="DefaultParagraphFont"/>
    <w:link w:val="highlightedtext"/>
    <w:rsid w:val="00575F0D"/>
    <w:rPr>
      <w:b/>
      <w:iCs/>
      <w:color w:val="4F6228" w:themeColor="accent3" w:themeShade="80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011414"/>
    <w:rPr>
      <w:rFonts w:ascii="Verdana" w:eastAsia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011414"/>
    <w:rPr>
      <w:rFonts w:ascii="Verdana" w:eastAsia="Verdana" w:hAnsi="Verdana" w:cs="Verdan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11414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5C46E296</Template>
  <TotalTime>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8</cp:revision>
  <dcterms:created xsi:type="dcterms:W3CDTF">2019-05-13T01:44:00Z</dcterms:created>
  <dcterms:modified xsi:type="dcterms:W3CDTF">2019-05-15T03:36:00Z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