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86975" w14:textId="32E686B5" w:rsidR="005E1308" w:rsidRPr="002F34D5" w:rsidRDefault="00463CCE" w:rsidP="005E1308">
      <w:pPr>
        <w:pStyle w:val="PageHeading"/>
        <w:rPr>
          <w:smallCaps/>
          <w:sz w:val="16"/>
          <w:szCs w:val="16"/>
        </w:rPr>
      </w:pPr>
      <w:r>
        <w:rPr>
          <w:noProof/>
          <w:sz w:val="20"/>
        </w:rPr>
        <w:drawing>
          <wp:inline distT="0" distB="0" distL="0" distR="0" wp14:anchorId="2046E8DD" wp14:editId="6657F128">
            <wp:extent cx="1410159" cy="1178342"/>
            <wp:effectExtent l="0" t="0" r="0" b="317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460466" cy="1220379"/>
                    </a:xfrm>
                    <a:prstGeom prst="rect">
                      <a:avLst/>
                    </a:prstGeom>
                  </pic:spPr>
                </pic:pic>
              </a:graphicData>
            </a:graphic>
          </wp:inline>
        </w:drawing>
      </w:r>
    </w:p>
    <w:p w14:paraId="77A27BCD" w14:textId="4ABA50B3" w:rsidR="005E1308" w:rsidRPr="000856CB" w:rsidRDefault="62D40865" w:rsidP="62D40865">
      <w:pPr>
        <w:pStyle w:val="PageHeading"/>
        <w:rPr>
          <w:rFonts w:asciiTheme="minorHAnsi" w:hAnsiTheme="minorHAnsi" w:cstheme="minorBidi"/>
          <w:smallCaps/>
          <w:sz w:val="24"/>
          <w:szCs w:val="24"/>
        </w:rPr>
      </w:pPr>
      <w:r w:rsidRPr="62D40865">
        <w:rPr>
          <w:rFonts w:asciiTheme="minorHAnsi" w:hAnsiTheme="minorHAnsi" w:cstheme="minorBidi"/>
          <w:smallCaps/>
          <w:sz w:val="24"/>
          <w:szCs w:val="24"/>
        </w:rPr>
        <w:t>PUBLIC RELEASE OF 2022 ELECTION COMMITMENT COSTING</w:t>
      </w:r>
    </w:p>
    <w:tbl>
      <w:tblPr>
        <w:tblStyle w:val="TableGrid"/>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399"/>
        <w:gridCol w:w="6007"/>
      </w:tblGrid>
      <w:tr w:rsidR="005E1308" w:rsidRPr="00976DDC" w14:paraId="1EA915CF" w14:textId="77777777" w:rsidTr="62D40865">
        <w:tc>
          <w:tcPr>
            <w:tcW w:w="5000" w:type="pct"/>
            <w:gridSpan w:val="2"/>
            <w:shd w:val="clear" w:color="auto" w:fill="auto"/>
          </w:tcPr>
          <w:p w14:paraId="2F74608F" w14:textId="38F2BB0E" w:rsidR="005E1308" w:rsidRPr="00976DDC" w:rsidRDefault="62D40865" w:rsidP="62D40865">
            <w:pPr>
              <w:pStyle w:val="Text"/>
              <w:spacing w:before="120" w:after="120"/>
              <w:rPr>
                <w:rFonts w:asciiTheme="minorHAnsi" w:hAnsiTheme="minorHAnsi"/>
                <w:smallCaps/>
                <w:noProof/>
                <w:sz w:val="22"/>
                <w:szCs w:val="22"/>
              </w:rPr>
            </w:pPr>
            <w:r w:rsidRPr="62D40865">
              <w:rPr>
                <w:rFonts w:asciiTheme="minorHAnsi" w:hAnsiTheme="minorHAnsi"/>
                <w:b/>
                <w:bCs/>
                <w:sz w:val="22"/>
                <w:szCs w:val="22"/>
              </w:rPr>
              <w:t>Name of proposal costed: Future Farmer Guarantee Scheme</w:t>
            </w:r>
          </w:p>
        </w:tc>
      </w:tr>
      <w:tr w:rsidR="005B4E1B" w:rsidRPr="00976DDC" w14:paraId="4391B37C" w14:textId="77777777" w:rsidTr="62D40865">
        <w:tc>
          <w:tcPr>
            <w:tcW w:w="1807" w:type="pct"/>
          </w:tcPr>
          <w:p w14:paraId="38D65DCF" w14:textId="1C5D9020" w:rsidR="005B4E1B" w:rsidRDefault="62D40865" w:rsidP="62D40865">
            <w:pPr>
              <w:pStyle w:val="Text"/>
              <w:spacing w:before="120" w:after="120"/>
              <w:rPr>
                <w:rFonts w:asciiTheme="minorHAnsi" w:hAnsiTheme="minorHAnsi"/>
                <w:b/>
                <w:bCs/>
                <w:sz w:val="22"/>
                <w:szCs w:val="22"/>
              </w:rPr>
            </w:pPr>
            <w:r w:rsidRPr="62D40865">
              <w:rPr>
                <w:rFonts w:asciiTheme="minorHAnsi" w:hAnsiTheme="minorHAnsi"/>
                <w:b/>
                <w:bCs/>
                <w:sz w:val="22"/>
                <w:szCs w:val="22"/>
              </w:rPr>
              <w:t xml:space="preserve">Costing Identifier: </w:t>
            </w:r>
          </w:p>
        </w:tc>
        <w:tc>
          <w:tcPr>
            <w:tcW w:w="3193" w:type="pct"/>
          </w:tcPr>
          <w:p w14:paraId="12D9AB6A" w14:textId="4B9B4EDA" w:rsidR="005B4E1B" w:rsidRPr="00976DDC"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COA 007</w:t>
            </w:r>
          </w:p>
        </w:tc>
      </w:tr>
      <w:tr w:rsidR="005E1308" w:rsidRPr="00976DDC" w14:paraId="5B29E5E7" w14:textId="77777777" w:rsidTr="62D40865">
        <w:tc>
          <w:tcPr>
            <w:tcW w:w="1807" w:type="pct"/>
          </w:tcPr>
          <w:p w14:paraId="4EE6280D" w14:textId="77777777" w:rsidR="005E1308" w:rsidRPr="00976DDC" w:rsidRDefault="62D40865" w:rsidP="62D40865">
            <w:pPr>
              <w:pStyle w:val="Text"/>
              <w:spacing w:before="120" w:after="120"/>
              <w:rPr>
                <w:rFonts w:asciiTheme="minorHAnsi" w:hAnsiTheme="minorHAnsi"/>
                <w:b/>
                <w:bCs/>
                <w:sz w:val="22"/>
                <w:szCs w:val="22"/>
              </w:rPr>
            </w:pPr>
            <w:r w:rsidRPr="62D40865">
              <w:rPr>
                <w:rFonts w:asciiTheme="minorHAnsi" w:hAnsiTheme="minorHAnsi"/>
                <w:b/>
                <w:bCs/>
                <w:sz w:val="22"/>
                <w:szCs w:val="22"/>
              </w:rPr>
              <w:t>Summary of costing:</w:t>
            </w:r>
          </w:p>
        </w:tc>
        <w:tc>
          <w:tcPr>
            <w:tcW w:w="3193" w:type="pct"/>
          </w:tcPr>
          <w:p w14:paraId="68B931B7" w14:textId="03922D27" w:rsidR="0044227B" w:rsidRDefault="0056293F" w:rsidP="62D40865">
            <w:pPr>
              <w:pStyle w:val="Text"/>
              <w:spacing w:before="120" w:after="120"/>
              <w:rPr>
                <w:rFonts w:asciiTheme="minorHAnsi" w:hAnsiTheme="minorHAnsi"/>
                <w:sz w:val="22"/>
                <w:szCs w:val="22"/>
              </w:rPr>
            </w:pPr>
            <w:r>
              <w:rPr>
                <w:rFonts w:asciiTheme="minorHAnsi" w:hAnsiTheme="minorHAnsi"/>
                <w:sz w:val="22"/>
                <w:szCs w:val="22"/>
              </w:rPr>
              <w:t>The</w:t>
            </w:r>
            <w:r w:rsidR="62D40865" w:rsidRPr="62D40865">
              <w:rPr>
                <w:rFonts w:asciiTheme="minorHAnsi" w:hAnsiTheme="minorHAnsi"/>
                <w:sz w:val="22"/>
                <w:szCs w:val="22"/>
              </w:rPr>
              <w:t xml:space="preserve"> proposal is to establish a Future Farmer Guarantee Scheme that would guarantee 40 per cent of an eligible farmer’s new commercial loan up to a maximum value of $1</w:t>
            </w:r>
            <w:r w:rsidR="007C0139">
              <w:rPr>
                <w:rFonts w:asciiTheme="minorHAnsi" w:hAnsiTheme="minorHAnsi"/>
                <w:sz w:val="22"/>
                <w:szCs w:val="22"/>
              </w:rPr>
              <w:t>.0</w:t>
            </w:r>
            <w:r w:rsidR="62D40865" w:rsidRPr="62D40865">
              <w:rPr>
                <w:rFonts w:asciiTheme="minorHAnsi" w:hAnsiTheme="minorHAnsi"/>
                <w:sz w:val="22"/>
                <w:szCs w:val="22"/>
              </w:rPr>
              <w:t xml:space="preserve"> million. </w:t>
            </w:r>
          </w:p>
          <w:p w14:paraId="7F77D88D" w14:textId="4259D96D" w:rsidR="0044227B"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Applications for the guarantee would open for a</w:t>
            </w:r>
            <w:r w:rsidR="00BE2C69">
              <w:rPr>
                <w:rFonts w:asciiTheme="minorHAnsi" w:hAnsiTheme="minorHAnsi"/>
                <w:sz w:val="22"/>
                <w:szCs w:val="22"/>
              </w:rPr>
              <w:t>n</w:t>
            </w:r>
            <w:r w:rsidRPr="62D40865">
              <w:rPr>
                <w:rFonts w:asciiTheme="minorHAnsi" w:hAnsiTheme="minorHAnsi"/>
                <w:sz w:val="22"/>
                <w:szCs w:val="22"/>
              </w:rPr>
              <w:t xml:space="preserve"> 18 month pilot from 1 January 2023. Eligible loans would be guaranteed for a maximum term of 10 years, with an option to extend the loan term by two years for applicants who are experiencing significant financial hardship. A further allowance is provided to account for mediation or recovery action.</w:t>
            </w:r>
          </w:p>
          <w:p w14:paraId="6E9B6977" w14:textId="0FAD2DD3" w:rsidR="005E1308" w:rsidRPr="00976DDC"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The guarantee would be funded by reallocating $75</w:t>
            </w:r>
            <w:r w:rsidR="007C0139">
              <w:rPr>
                <w:rFonts w:asciiTheme="minorHAnsi" w:hAnsiTheme="minorHAnsi"/>
                <w:sz w:val="22"/>
                <w:szCs w:val="22"/>
              </w:rPr>
              <w:t>.0</w:t>
            </w:r>
            <w:r w:rsidRPr="62D40865">
              <w:rPr>
                <w:rFonts w:asciiTheme="minorHAnsi" w:hAnsiTheme="minorHAnsi"/>
                <w:sz w:val="22"/>
                <w:szCs w:val="22"/>
              </w:rPr>
              <w:t xml:space="preserve"> million of loan funding from Regional Investment Corporation (RIC) loans.</w:t>
            </w:r>
          </w:p>
        </w:tc>
        <w:bookmarkStart w:id="0" w:name="_GoBack"/>
        <w:bookmarkEnd w:id="0"/>
      </w:tr>
      <w:tr w:rsidR="00BC7798" w:rsidRPr="00976DDC" w14:paraId="6DBB6A19" w14:textId="77777777" w:rsidTr="62D40865">
        <w:tc>
          <w:tcPr>
            <w:tcW w:w="1807" w:type="pct"/>
          </w:tcPr>
          <w:p w14:paraId="7165A981" w14:textId="77777777" w:rsidR="00BC7798" w:rsidRPr="00976DDC" w:rsidRDefault="62D40865" w:rsidP="62D40865">
            <w:pPr>
              <w:pStyle w:val="Text"/>
              <w:spacing w:before="120" w:after="120"/>
              <w:rPr>
                <w:rFonts w:asciiTheme="minorHAnsi" w:hAnsiTheme="minorHAnsi"/>
                <w:b/>
                <w:bCs/>
                <w:sz w:val="22"/>
                <w:szCs w:val="22"/>
              </w:rPr>
            </w:pPr>
            <w:r w:rsidRPr="62D40865">
              <w:rPr>
                <w:rFonts w:asciiTheme="minorHAnsi" w:hAnsiTheme="minorHAnsi"/>
                <w:b/>
                <w:bCs/>
                <w:sz w:val="22"/>
                <w:szCs w:val="22"/>
              </w:rPr>
              <w:t xml:space="preserve">Ongoing or Terminating </w:t>
            </w:r>
            <w:r w:rsidR="29F76132">
              <w:br/>
            </w:r>
            <w:r w:rsidRPr="62D40865">
              <w:rPr>
                <w:rFonts w:asciiTheme="minorHAnsi" w:hAnsiTheme="minorHAnsi"/>
                <w:b/>
                <w:bCs/>
                <w:sz w:val="22"/>
                <w:szCs w:val="22"/>
              </w:rPr>
              <w:t>(including date)</w:t>
            </w:r>
            <w:r w:rsidRPr="62D40865">
              <w:rPr>
                <w:rFonts w:asciiTheme="minorHAnsi" w:hAnsiTheme="minorHAnsi"/>
                <w:b/>
                <w:bCs/>
                <w:sz w:val="22"/>
                <w:szCs w:val="22"/>
                <w:vertAlign w:val="superscript"/>
              </w:rPr>
              <w:t>(a)</w:t>
            </w:r>
          </w:p>
        </w:tc>
        <w:tc>
          <w:tcPr>
            <w:tcW w:w="3193" w:type="pct"/>
          </w:tcPr>
          <w:p w14:paraId="6424AADA" w14:textId="7F109557" w:rsidR="00BC7798" w:rsidRPr="00976DDC"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Terminating</w:t>
            </w:r>
            <w:r w:rsidR="00F12B82">
              <w:rPr>
                <w:rFonts w:asciiTheme="minorHAnsi" w:hAnsiTheme="minorHAnsi"/>
                <w:sz w:val="22"/>
                <w:szCs w:val="22"/>
              </w:rPr>
              <w:t xml:space="preserve"> on</w:t>
            </w:r>
            <w:r w:rsidRPr="62D40865">
              <w:rPr>
                <w:rFonts w:asciiTheme="minorHAnsi" w:hAnsiTheme="minorHAnsi"/>
                <w:sz w:val="22"/>
                <w:szCs w:val="22"/>
              </w:rPr>
              <w:t xml:space="preserve"> 30 June 2039</w:t>
            </w:r>
            <w:r w:rsidR="00F12B82">
              <w:rPr>
                <w:rFonts w:asciiTheme="minorHAnsi" w:hAnsiTheme="minorHAnsi"/>
                <w:sz w:val="22"/>
                <w:szCs w:val="22"/>
              </w:rPr>
              <w:t>.</w:t>
            </w:r>
          </w:p>
        </w:tc>
      </w:tr>
      <w:tr w:rsidR="005E1308" w:rsidRPr="00976DDC" w14:paraId="4A480569" w14:textId="77777777" w:rsidTr="62D40865">
        <w:tc>
          <w:tcPr>
            <w:tcW w:w="1807" w:type="pct"/>
          </w:tcPr>
          <w:p w14:paraId="49E2396B" w14:textId="77777777" w:rsidR="005E1308" w:rsidRPr="00976DDC" w:rsidRDefault="62D40865" w:rsidP="62D40865">
            <w:pPr>
              <w:pStyle w:val="Text"/>
              <w:spacing w:before="120" w:after="120"/>
              <w:rPr>
                <w:rFonts w:asciiTheme="minorHAnsi" w:hAnsiTheme="minorHAnsi"/>
                <w:b/>
                <w:bCs/>
                <w:sz w:val="22"/>
                <w:szCs w:val="22"/>
              </w:rPr>
            </w:pPr>
            <w:r w:rsidRPr="62D40865">
              <w:rPr>
                <w:rFonts w:asciiTheme="minorHAnsi" w:hAnsiTheme="minorHAnsi"/>
                <w:b/>
                <w:bCs/>
                <w:sz w:val="22"/>
                <w:szCs w:val="22"/>
              </w:rPr>
              <w:t>Person making the request:</w:t>
            </w:r>
          </w:p>
        </w:tc>
        <w:tc>
          <w:tcPr>
            <w:tcW w:w="3193" w:type="pct"/>
          </w:tcPr>
          <w:p w14:paraId="06C18CED" w14:textId="308C1D63" w:rsidR="005E1308" w:rsidRPr="00976DDC"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Prime Minister</w:t>
            </w:r>
            <w:r w:rsidR="00F12B82">
              <w:rPr>
                <w:rFonts w:asciiTheme="minorHAnsi" w:hAnsiTheme="minorHAnsi"/>
                <w:sz w:val="22"/>
                <w:szCs w:val="22"/>
              </w:rPr>
              <w:t>.</w:t>
            </w:r>
          </w:p>
        </w:tc>
      </w:tr>
      <w:tr w:rsidR="005E1308" w:rsidRPr="00976DDC" w14:paraId="2FB23F26" w14:textId="77777777" w:rsidTr="62D40865">
        <w:tc>
          <w:tcPr>
            <w:tcW w:w="1807" w:type="pct"/>
          </w:tcPr>
          <w:p w14:paraId="48047884" w14:textId="77777777" w:rsidR="005E1308" w:rsidRPr="00976DDC" w:rsidRDefault="62D40865" w:rsidP="62D40865">
            <w:pPr>
              <w:pStyle w:val="Text"/>
              <w:spacing w:before="120" w:after="120"/>
              <w:rPr>
                <w:rFonts w:asciiTheme="minorHAnsi" w:hAnsiTheme="minorHAnsi"/>
                <w:b/>
                <w:bCs/>
                <w:sz w:val="22"/>
                <w:szCs w:val="22"/>
              </w:rPr>
            </w:pPr>
            <w:r w:rsidRPr="62D40865">
              <w:rPr>
                <w:rFonts w:asciiTheme="minorHAnsi" w:hAnsiTheme="minorHAnsi"/>
                <w:b/>
                <w:bCs/>
                <w:sz w:val="22"/>
                <w:szCs w:val="22"/>
              </w:rPr>
              <w:t>Date costing request received:</w:t>
            </w:r>
          </w:p>
        </w:tc>
        <w:tc>
          <w:tcPr>
            <w:tcW w:w="3193" w:type="pct"/>
          </w:tcPr>
          <w:p w14:paraId="6E9044F4" w14:textId="1573B6C6" w:rsidR="005E1308" w:rsidRPr="00976DDC"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2 May 2022</w:t>
            </w:r>
            <w:r w:rsidR="00F12B82">
              <w:rPr>
                <w:rFonts w:asciiTheme="minorHAnsi" w:hAnsiTheme="minorHAnsi"/>
                <w:sz w:val="22"/>
                <w:szCs w:val="22"/>
              </w:rPr>
              <w:t>.</w:t>
            </w:r>
          </w:p>
        </w:tc>
      </w:tr>
      <w:tr w:rsidR="005E1308" w:rsidRPr="00976DDC" w14:paraId="5C17EE4C" w14:textId="77777777" w:rsidTr="62D40865">
        <w:tc>
          <w:tcPr>
            <w:tcW w:w="1807" w:type="pct"/>
          </w:tcPr>
          <w:p w14:paraId="642D6E0B" w14:textId="77777777" w:rsidR="005E1308" w:rsidRPr="00976DDC" w:rsidRDefault="62D40865" w:rsidP="62D40865">
            <w:pPr>
              <w:pStyle w:val="Text"/>
              <w:spacing w:before="120" w:after="120"/>
              <w:rPr>
                <w:rFonts w:asciiTheme="minorHAnsi" w:hAnsiTheme="minorHAnsi"/>
                <w:b/>
                <w:bCs/>
                <w:sz w:val="22"/>
                <w:szCs w:val="22"/>
              </w:rPr>
            </w:pPr>
            <w:r w:rsidRPr="62D40865">
              <w:rPr>
                <w:rFonts w:asciiTheme="minorHAnsi" w:hAnsiTheme="minorHAnsi"/>
                <w:b/>
                <w:bCs/>
                <w:sz w:val="22"/>
                <w:szCs w:val="22"/>
              </w:rPr>
              <w:t>Date of public release of policy:</w:t>
            </w:r>
          </w:p>
        </w:tc>
        <w:tc>
          <w:tcPr>
            <w:tcW w:w="3193" w:type="pct"/>
          </w:tcPr>
          <w:p w14:paraId="3DE382A6" w14:textId="099E3AF2" w:rsidR="005E1308" w:rsidRPr="00976DDC"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19 April 2022</w:t>
            </w:r>
            <w:r w:rsidR="00F12B82">
              <w:rPr>
                <w:rFonts w:asciiTheme="minorHAnsi" w:hAnsiTheme="minorHAnsi"/>
                <w:sz w:val="22"/>
                <w:szCs w:val="22"/>
              </w:rPr>
              <w:t>.</w:t>
            </w:r>
          </w:p>
        </w:tc>
      </w:tr>
      <w:tr w:rsidR="005E1308" w:rsidRPr="00976DDC" w14:paraId="4EA07882" w14:textId="77777777" w:rsidTr="62D40865">
        <w:tc>
          <w:tcPr>
            <w:tcW w:w="1807" w:type="pct"/>
          </w:tcPr>
          <w:p w14:paraId="1D1DCB34" w14:textId="77777777" w:rsidR="005E1308" w:rsidRPr="00976DDC" w:rsidRDefault="62D40865" w:rsidP="62D40865">
            <w:pPr>
              <w:pStyle w:val="Text"/>
              <w:spacing w:before="120" w:after="120"/>
              <w:rPr>
                <w:rFonts w:asciiTheme="minorHAnsi" w:hAnsiTheme="minorHAnsi"/>
                <w:b/>
                <w:bCs/>
                <w:sz w:val="22"/>
                <w:szCs w:val="22"/>
              </w:rPr>
            </w:pPr>
            <w:r w:rsidRPr="62D40865">
              <w:rPr>
                <w:rFonts w:asciiTheme="minorHAnsi" w:hAnsiTheme="minorHAnsi"/>
                <w:b/>
                <w:bCs/>
                <w:sz w:val="22"/>
                <w:szCs w:val="22"/>
              </w:rPr>
              <w:t>Date costing completed:</w:t>
            </w:r>
          </w:p>
        </w:tc>
        <w:tc>
          <w:tcPr>
            <w:tcW w:w="3193" w:type="pct"/>
          </w:tcPr>
          <w:p w14:paraId="1B094B75" w14:textId="1B15446F" w:rsidR="005E1308" w:rsidRPr="00976DDC" w:rsidRDefault="00E9138A" w:rsidP="62D40865">
            <w:pPr>
              <w:pStyle w:val="Text"/>
              <w:spacing w:before="120" w:after="120"/>
              <w:rPr>
                <w:rFonts w:asciiTheme="minorHAnsi" w:hAnsiTheme="minorHAnsi"/>
                <w:sz w:val="22"/>
                <w:szCs w:val="22"/>
              </w:rPr>
            </w:pPr>
            <w:r w:rsidRPr="00E9138A">
              <w:rPr>
                <w:rFonts w:asciiTheme="minorHAnsi" w:hAnsiTheme="minorHAnsi"/>
                <w:sz w:val="22"/>
                <w:szCs w:val="22"/>
              </w:rPr>
              <w:t>9 May 2022</w:t>
            </w:r>
          </w:p>
        </w:tc>
      </w:tr>
      <w:tr w:rsidR="005E1308" w:rsidRPr="00976DDC" w14:paraId="736E63CF" w14:textId="77777777" w:rsidTr="62D40865">
        <w:tc>
          <w:tcPr>
            <w:tcW w:w="1807" w:type="pct"/>
          </w:tcPr>
          <w:p w14:paraId="7D3BE51F" w14:textId="77777777" w:rsidR="005E1308" w:rsidRPr="00976DDC" w:rsidRDefault="62D40865" w:rsidP="62D40865">
            <w:pPr>
              <w:pStyle w:val="Text"/>
              <w:spacing w:before="120" w:after="120"/>
              <w:rPr>
                <w:rFonts w:asciiTheme="minorHAnsi" w:hAnsiTheme="minorHAnsi"/>
                <w:b/>
                <w:bCs/>
                <w:sz w:val="22"/>
                <w:szCs w:val="22"/>
              </w:rPr>
            </w:pPr>
            <w:r w:rsidRPr="62D40865">
              <w:rPr>
                <w:rFonts w:asciiTheme="minorHAnsi" w:hAnsiTheme="minorHAnsi"/>
                <w:b/>
                <w:bCs/>
                <w:sz w:val="22"/>
                <w:szCs w:val="22"/>
              </w:rPr>
              <w:t xml:space="preserve">Additional information requested </w:t>
            </w:r>
            <w:r w:rsidR="29F76132">
              <w:br/>
            </w:r>
            <w:r w:rsidRPr="62D40865">
              <w:rPr>
                <w:rFonts w:asciiTheme="minorHAnsi" w:hAnsiTheme="minorHAnsi"/>
                <w:b/>
                <w:bCs/>
                <w:sz w:val="22"/>
                <w:szCs w:val="22"/>
              </w:rPr>
              <w:t>(including date):</w:t>
            </w:r>
          </w:p>
        </w:tc>
        <w:tc>
          <w:tcPr>
            <w:tcW w:w="3193" w:type="pct"/>
          </w:tcPr>
          <w:p w14:paraId="7DD1C48D" w14:textId="06D0386A" w:rsidR="005E1308" w:rsidRPr="00976DDC" w:rsidRDefault="00DC573C" w:rsidP="00976DDC">
            <w:pPr>
              <w:pStyle w:val="Text"/>
              <w:spacing w:before="120" w:after="120"/>
              <w:rPr>
                <w:rFonts w:asciiTheme="minorHAnsi" w:hAnsiTheme="minorHAnsi" w:cstheme="minorHAnsi"/>
                <w:sz w:val="22"/>
                <w:szCs w:val="22"/>
              </w:rPr>
            </w:pPr>
            <w:r>
              <w:rPr>
                <w:rFonts w:asciiTheme="minorHAnsi" w:hAnsiTheme="minorHAnsi" w:cstheme="minorHAnsi"/>
                <w:sz w:val="22"/>
                <w:szCs w:val="22"/>
              </w:rPr>
              <w:t>Not applicable.</w:t>
            </w:r>
          </w:p>
        </w:tc>
      </w:tr>
      <w:tr w:rsidR="005E1308" w:rsidRPr="00976DDC" w14:paraId="366E7F7F" w14:textId="77777777" w:rsidTr="62D40865">
        <w:tc>
          <w:tcPr>
            <w:tcW w:w="1807" w:type="pct"/>
          </w:tcPr>
          <w:p w14:paraId="6CF7EF83" w14:textId="77777777" w:rsidR="005E1308" w:rsidRPr="00976DDC" w:rsidRDefault="62D40865" w:rsidP="62D40865">
            <w:pPr>
              <w:pStyle w:val="Text"/>
              <w:spacing w:before="120" w:after="120"/>
              <w:rPr>
                <w:rFonts w:asciiTheme="minorHAnsi" w:hAnsiTheme="minorHAnsi"/>
                <w:b/>
                <w:bCs/>
                <w:sz w:val="22"/>
                <w:szCs w:val="22"/>
              </w:rPr>
            </w:pPr>
            <w:r w:rsidRPr="62D40865">
              <w:rPr>
                <w:rFonts w:asciiTheme="minorHAnsi" w:hAnsiTheme="minorHAnsi"/>
                <w:b/>
                <w:bCs/>
                <w:sz w:val="22"/>
                <w:szCs w:val="22"/>
              </w:rPr>
              <w:t>Additional information received</w:t>
            </w:r>
            <w:r w:rsidR="29F76132">
              <w:br/>
            </w:r>
            <w:r w:rsidRPr="62D40865">
              <w:rPr>
                <w:rFonts w:asciiTheme="minorHAnsi" w:hAnsiTheme="minorHAnsi"/>
                <w:b/>
                <w:bCs/>
                <w:sz w:val="22"/>
                <w:szCs w:val="22"/>
              </w:rPr>
              <w:t>(including date):</w:t>
            </w:r>
          </w:p>
        </w:tc>
        <w:tc>
          <w:tcPr>
            <w:tcW w:w="3193" w:type="pct"/>
          </w:tcPr>
          <w:p w14:paraId="7EAC6368" w14:textId="5DFB1C94" w:rsidR="005E1308" w:rsidRPr="00976DDC" w:rsidRDefault="00DC573C" w:rsidP="00976DDC">
            <w:pPr>
              <w:pStyle w:val="Text"/>
              <w:spacing w:before="120" w:after="120"/>
              <w:rPr>
                <w:rFonts w:asciiTheme="minorHAnsi" w:hAnsiTheme="minorHAnsi" w:cstheme="minorHAnsi"/>
                <w:sz w:val="22"/>
                <w:szCs w:val="22"/>
              </w:rPr>
            </w:pPr>
            <w:r>
              <w:rPr>
                <w:rFonts w:asciiTheme="minorHAnsi" w:hAnsiTheme="minorHAnsi" w:cstheme="minorHAnsi"/>
                <w:sz w:val="22"/>
                <w:szCs w:val="22"/>
              </w:rPr>
              <w:t>Not applicable.</w:t>
            </w:r>
          </w:p>
        </w:tc>
      </w:tr>
    </w:tbl>
    <w:p w14:paraId="481E0892" w14:textId="77777777" w:rsidR="00C83648" w:rsidRPr="00736211" w:rsidRDefault="62D40865" w:rsidP="62D40865">
      <w:pPr>
        <w:pStyle w:val="ChartandTableFootnoteAlpha"/>
        <w:numPr>
          <w:ilvl w:val="0"/>
          <w:numId w:val="0"/>
        </w:numPr>
        <w:jc w:val="left"/>
        <w:rPr>
          <w:rFonts w:asciiTheme="minorHAnsi" w:hAnsiTheme="minorHAnsi" w:cstheme="minorBidi"/>
          <w:b/>
          <w:bCs/>
          <w:sz w:val="18"/>
          <w:szCs w:val="18"/>
        </w:rPr>
      </w:pPr>
      <w:r w:rsidRPr="62D40865">
        <w:rPr>
          <w:rFonts w:asciiTheme="minorHAnsi" w:hAnsiTheme="minorHAnsi" w:cstheme="minorBidi"/>
          <w:sz w:val="18"/>
          <w:szCs w:val="18"/>
        </w:rPr>
        <w:t xml:space="preserve">(a) Ongoing policies continue indefinitely (until a decision is made to cease or alter the program). Terminating measures end on a date set out in the initial policy and a further decision is required to continue the program beyond this date.  </w:t>
      </w:r>
    </w:p>
    <w:p w14:paraId="433BB649" w14:textId="78885105" w:rsidR="00C83648" w:rsidRPr="00976DDC" w:rsidRDefault="00C83648" w:rsidP="005E1308">
      <w:pPr>
        <w:pStyle w:val="Headings"/>
        <w:rPr>
          <w:rFonts w:asciiTheme="minorHAnsi" w:eastAsia="Times New Roman" w:hAnsiTheme="minorHAnsi" w:cstheme="minorHAnsi"/>
          <w:b w:val="0"/>
          <w:i/>
          <w:sz w:val="22"/>
          <w:szCs w:val="22"/>
          <w:lang w:eastAsia="en-AU"/>
        </w:rPr>
      </w:pPr>
    </w:p>
    <w:p w14:paraId="64CCE1EA" w14:textId="77777777" w:rsidR="00BC7798" w:rsidRPr="00976DDC" w:rsidRDefault="62D40865" w:rsidP="62D40865">
      <w:pPr>
        <w:pStyle w:val="Headings"/>
        <w:rPr>
          <w:rFonts w:asciiTheme="minorHAnsi" w:hAnsiTheme="minorHAnsi"/>
          <w:sz w:val="22"/>
          <w:szCs w:val="22"/>
        </w:rPr>
      </w:pPr>
      <w:r w:rsidRPr="62D40865">
        <w:rPr>
          <w:rFonts w:asciiTheme="minorHAnsi" w:hAnsiTheme="minorHAnsi"/>
          <w:sz w:val="22"/>
          <w:szCs w:val="22"/>
        </w:rPr>
        <w:t>Financial implications (outturn prices</w:t>
      </w:r>
      <w:proofErr w:type="gramStart"/>
      <w:r w:rsidRPr="62D40865">
        <w:rPr>
          <w:rFonts w:asciiTheme="minorHAnsi" w:hAnsiTheme="minorHAnsi"/>
          <w:sz w:val="22"/>
          <w:szCs w:val="22"/>
        </w:rPr>
        <w:t>)</w:t>
      </w:r>
      <w:r w:rsidRPr="62D40865">
        <w:rPr>
          <w:rFonts w:asciiTheme="minorHAnsi" w:hAnsiTheme="minorHAnsi"/>
          <w:sz w:val="22"/>
          <w:szCs w:val="22"/>
          <w:vertAlign w:val="superscript"/>
        </w:rPr>
        <w:t>(</w:t>
      </w:r>
      <w:proofErr w:type="gramEnd"/>
      <w:r w:rsidRPr="62D40865">
        <w:rPr>
          <w:rFonts w:asciiTheme="minorHAnsi" w:hAnsiTheme="minorHAnsi"/>
          <w:sz w:val="22"/>
          <w:szCs w:val="22"/>
          <w:vertAlign w:val="superscript"/>
        </w:rPr>
        <w:t>b)</w:t>
      </w:r>
    </w:p>
    <w:tbl>
      <w:tblPr>
        <w:tblStyle w:val="TableGrid"/>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113"/>
        <w:gridCol w:w="1259"/>
        <w:gridCol w:w="1259"/>
        <w:gridCol w:w="1259"/>
        <w:gridCol w:w="1259"/>
        <w:gridCol w:w="1257"/>
      </w:tblGrid>
      <w:tr w:rsidR="00323E35" w:rsidRPr="00916340" w14:paraId="0D2F8992" w14:textId="77777777" w:rsidTr="64EA513A">
        <w:tc>
          <w:tcPr>
            <w:tcW w:w="1655" w:type="pct"/>
            <w:shd w:val="clear" w:color="auto" w:fill="auto"/>
          </w:tcPr>
          <w:p w14:paraId="2303AE38" w14:textId="77777777" w:rsidR="00323E35" w:rsidRPr="00916340" w:rsidRDefault="62D40865" w:rsidP="62D40865">
            <w:pPr>
              <w:pStyle w:val="Table-RowHeadings"/>
              <w:rPr>
                <w:rFonts w:asciiTheme="minorHAnsi" w:hAnsiTheme="minorHAnsi"/>
              </w:rPr>
            </w:pPr>
            <w:r w:rsidRPr="62D40865">
              <w:rPr>
                <w:rFonts w:asciiTheme="minorHAnsi" w:hAnsiTheme="minorHAnsi"/>
              </w:rPr>
              <w:t>Impact on</w:t>
            </w:r>
          </w:p>
        </w:tc>
        <w:tc>
          <w:tcPr>
            <w:tcW w:w="669" w:type="pct"/>
            <w:shd w:val="clear" w:color="auto" w:fill="auto"/>
          </w:tcPr>
          <w:p w14:paraId="5F3F5682" w14:textId="0940F8E8" w:rsidR="00323E35" w:rsidRPr="00916340" w:rsidRDefault="64EA513A" w:rsidP="64EA513A">
            <w:pPr>
              <w:pStyle w:val="Table-YearlyColumnHeadings"/>
              <w:rPr>
                <w:rFonts w:asciiTheme="minorHAnsi" w:hAnsiTheme="minorHAnsi"/>
              </w:rPr>
            </w:pPr>
            <w:r w:rsidRPr="64EA513A">
              <w:rPr>
                <w:rFonts w:asciiTheme="minorHAnsi" w:hAnsiTheme="minorHAnsi"/>
              </w:rPr>
              <w:t>2021-22</w:t>
            </w:r>
          </w:p>
        </w:tc>
        <w:tc>
          <w:tcPr>
            <w:tcW w:w="669" w:type="pct"/>
            <w:shd w:val="clear" w:color="auto" w:fill="auto"/>
          </w:tcPr>
          <w:p w14:paraId="1BE6B3F6" w14:textId="1FB1D1FA" w:rsidR="00323E35" w:rsidRPr="00916340" w:rsidRDefault="64EA513A" w:rsidP="64EA513A">
            <w:pPr>
              <w:pStyle w:val="Table-YearlyColumnHeadings"/>
              <w:rPr>
                <w:rFonts w:asciiTheme="minorHAnsi" w:hAnsiTheme="minorHAnsi"/>
              </w:rPr>
            </w:pPr>
            <w:r w:rsidRPr="64EA513A">
              <w:rPr>
                <w:rFonts w:asciiTheme="minorHAnsi" w:hAnsiTheme="minorHAnsi"/>
              </w:rPr>
              <w:t>2022-23</w:t>
            </w:r>
          </w:p>
        </w:tc>
        <w:tc>
          <w:tcPr>
            <w:tcW w:w="669" w:type="pct"/>
            <w:shd w:val="clear" w:color="auto" w:fill="auto"/>
          </w:tcPr>
          <w:p w14:paraId="7C92AC12" w14:textId="66F0660C" w:rsidR="00323E35" w:rsidRPr="00916340" w:rsidRDefault="64EA513A" w:rsidP="64EA513A">
            <w:pPr>
              <w:pStyle w:val="Table-YearlyColumnHeadings"/>
              <w:rPr>
                <w:rFonts w:asciiTheme="minorHAnsi" w:hAnsiTheme="minorHAnsi"/>
              </w:rPr>
            </w:pPr>
            <w:r w:rsidRPr="64EA513A">
              <w:rPr>
                <w:rFonts w:asciiTheme="minorHAnsi" w:hAnsiTheme="minorHAnsi"/>
              </w:rPr>
              <w:t>2023-24</w:t>
            </w:r>
          </w:p>
        </w:tc>
        <w:tc>
          <w:tcPr>
            <w:tcW w:w="669" w:type="pct"/>
            <w:shd w:val="clear" w:color="auto" w:fill="auto"/>
          </w:tcPr>
          <w:p w14:paraId="21E0283A" w14:textId="50BFFE33" w:rsidR="00323E35" w:rsidRPr="00916340" w:rsidRDefault="64EA513A" w:rsidP="64EA513A">
            <w:pPr>
              <w:pStyle w:val="Table-YearlyColumnHeadings"/>
              <w:rPr>
                <w:rFonts w:asciiTheme="minorHAnsi" w:hAnsiTheme="minorHAnsi"/>
              </w:rPr>
            </w:pPr>
            <w:r w:rsidRPr="64EA513A">
              <w:rPr>
                <w:rFonts w:asciiTheme="minorHAnsi" w:hAnsiTheme="minorHAnsi"/>
              </w:rPr>
              <w:t>2024-25</w:t>
            </w:r>
          </w:p>
        </w:tc>
        <w:tc>
          <w:tcPr>
            <w:tcW w:w="668" w:type="pct"/>
            <w:shd w:val="clear" w:color="auto" w:fill="auto"/>
          </w:tcPr>
          <w:p w14:paraId="2F73EBF3" w14:textId="4391BB23" w:rsidR="00323E35" w:rsidRPr="00916340" w:rsidRDefault="64EA513A" w:rsidP="64EA513A">
            <w:pPr>
              <w:pStyle w:val="Table-YearlyColumnHeadings"/>
              <w:rPr>
                <w:rFonts w:asciiTheme="minorHAnsi" w:hAnsiTheme="minorHAnsi"/>
              </w:rPr>
            </w:pPr>
            <w:r w:rsidRPr="64EA513A">
              <w:rPr>
                <w:rFonts w:asciiTheme="minorHAnsi" w:hAnsiTheme="minorHAnsi"/>
              </w:rPr>
              <w:t>2025-26</w:t>
            </w:r>
          </w:p>
        </w:tc>
      </w:tr>
      <w:tr w:rsidR="008B76D1" w:rsidRPr="00916340" w14:paraId="035059F7" w14:textId="77777777" w:rsidTr="64EA513A">
        <w:tc>
          <w:tcPr>
            <w:tcW w:w="1655" w:type="pct"/>
          </w:tcPr>
          <w:p w14:paraId="73BD53AB" w14:textId="77777777" w:rsidR="008B76D1" w:rsidRPr="00916340" w:rsidRDefault="62D40865" w:rsidP="62D40865">
            <w:pPr>
              <w:pStyle w:val="Table-RowHeadings"/>
              <w:rPr>
                <w:rFonts w:asciiTheme="minorHAnsi" w:hAnsiTheme="minorHAnsi"/>
              </w:rPr>
            </w:pPr>
            <w:r w:rsidRPr="62D40865">
              <w:rPr>
                <w:rFonts w:asciiTheme="minorHAnsi" w:hAnsiTheme="minorHAnsi"/>
              </w:rPr>
              <w:t>Underlying Cash Balance (UCB) ($m)</w:t>
            </w:r>
          </w:p>
        </w:tc>
        <w:tc>
          <w:tcPr>
            <w:tcW w:w="669" w:type="pct"/>
          </w:tcPr>
          <w:p w14:paraId="413FB8B6" w14:textId="549B3E80" w:rsidR="008B76D1"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0.0</w:t>
            </w:r>
          </w:p>
        </w:tc>
        <w:tc>
          <w:tcPr>
            <w:tcW w:w="669" w:type="pct"/>
          </w:tcPr>
          <w:p w14:paraId="449E060B" w14:textId="3A68EF4C" w:rsidR="008B76D1"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-0.9</w:t>
            </w:r>
          </w:p>
        </w:tc>
        <w:tc>
          <w:tcPr>
            <w:tcW w:w="669" w:type="pct"/>
          </w:tcPr>
          <w:p w14:paraId="7D5AAB5C" w14:textId="59B8A42F" w:rsidR="008B76D1"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-1.1</w:t>
            </w:r>
          </w:p>
        </w:tc>
        <w:tc>
          <w:tcPr>
            <w:tcW w:w="669" w:type="pct"/>
          </w:tcPr>
          <w:p w14:paraId="1A6CE0AF" w14:textId="6944D1E2" w:rsidR="008B76D1"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-0.7</w:t>
            </w:r>
          </w:p>
        </w:tc>
        <w:tc>
          <w:tcPr>
            <w:tcW w:w="668" w:type="pct"/>
          </w:tcPr>
          <w:p w14:paraId="5DF46194" w14:textId="1168DA88" w:rsidR="008B76D1"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-0.6</w:t>
            </w:r>
          </w:p>
        </w:tc>
      </w:tr>
      <w:tr w:rsidR="008B76D1" w:rsidRPr="00916340" w14:paraId="2AE69659" w14:textId="77777777" w:rsidTr="64EA513A">
        <w:tc>
          <w:tcPr>
            <w:tcW w:w="1655" w:type="pct"/>
          </w:tcPr>
          <w:p w14:paraId="3C97FB20" w14:textId="77777777" w:rsidR="008B76D1" w:rsidRPr="00916340" w:rsidRDefault="62D40865" w:rsidP="62D40865">
            <w:pPr>
              <w:pStyle w:val="Table-RowHeadings"/>
              <w:rPr>
                <w:rFonts w:asciiTheme="minorHAnsi" w:hAnsiTheme="minorHAnsi"/>
              </w:rPr>
            </w:pPr>
            <w:r w:rsidRPr="62D40865">
              <w:rPr>
                <w:rFonts w:asciiTheme="minorHAnsi" w:hAnsiTheme="minorHAnsi"/>
              </w:rPr>
              <w:t xml:space="preserve">Fiscal Balance </w:t>
            </w:r>
          </w:p>
          <w:p w14:paraId="2D89BC6A" w14:textId="77777777" w:rsidR="008B76D1" w:rsidRPr="00916340" w:rsidRDefault="62D40865" w:rsidP="62D40865">
            <w:pPr>
              <w:pStyle w:val="Table-RowHeadings"/>
              <w:rPr>
                <w:rFonts w:asciiTheme="minorHAnsi" w:hAnsiTheme="minorHAnsi"/>
              </w:rPr>
            </w:pPr>
            <w:r w:rsidRPr="62D40865">
              <w:rPr>
                <w:rFonts w:asciiTheme="minorHAnsi" w:hAnsiTheme="minorHAnsi"/>
              </w:rPr>
              <w:t>($m)</w:t>
            </w:r>
          </w:p>
        </w:tc>
        <w:tc>
          <w:tcPr>
            <w:tcW w:w="669" w:type="pct"/>
          </w:tcPr>
          <w:p w14:paraId="180E0B6C" w14:textId="186AC8A9" w:rsidR="008B76D1"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0.0</w:t>
            </w:r>
          </w:p>
        </w:tc>
        <w:tc>
          <w:tcPr>
            <w:tcW w:w="669" w:type="pct"/>
          </w:tcPr>
          <w:p w14:paraId="6DD8EAB3" w14:textId="0789C23C" w:rsidR="008B76D1"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1.2</w:t>
            </w:r>
          </w:p>
        </w:tc>
        <w:tc>
          <w:tcPr>
            <w:tcW w:w="669" w:type="pct"/>
          </w:tcPr>
          <w:p w14:paraId="35B0C545" w14:textId="60BDE057" w:rsidR="008B76D1"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2.5</w:t>
            </w:r>
          </w:p>
        </w:tc>
        <w:tc>
          <w:tcPr>
            <w:tcW w:w="669" w:type="pct"/>
          </w:tcPr>
          <w:p w14:paraId="598CC5CD" w14:textId="35E25AAC" w:rsidR="008B76D1"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-1.5</w:t>
            </w:r>
          </w:p>
        </w:tc>
        <w:tc>
          <w:tcPr>
            <w:tcW w:w="668" w:type="pct"/>
          </w:tcPr>
          <w:p w14:paraId="088D2C3B" w14:textId="57900D51" w:rsidR="008B76D1"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-1.5</w:t>
            </w:r>
          </w:p>
        </w:tc>
      </w:tr>
    </w:tbl>
    <w:p w14:paraId="0B877000" w14:textId="2EB1CDC3" w:rsidR="00F3085D" w:rsidRDefault="62D40865" w:rsidP="62D40865">
      <w:pPr>
        <w:pStyle w:val="ChartandTableFootnoteAlpha"/>
        <w:numPr>
          <w:ilvl w:val="0"/>
          <w:numId w:val="0"/>
        </w:numPr>
        <w:jc w:val="left"/>
        <w:rPr>
          <w:rFonts w:asciiTheme="minorHAnsi" w:hAnsiTheme="minorHAnsi" w:cstheme="minorBidi"/>
          <w:sz w:val="18"/>
          <w:szCs w:val="18"/>
        </w:rPr>
      </w:pPr>
      <w:r w:rsidRPr="62D40865">
        <w:rPr>
          <w:rFonts w:asciiTheme="minorHAnsi" w:hAnsiTheme="minorHAnsi" w:cstheme="minorBidi"/>
          <w:sz w:val="18"/>
          <w:szCs w:val="18"/>
        </w:rPr>
        <w:t>(b) A positive number for the fiscal balance indicates an increase in revenue or a decrease in expenses or net capital investment in accrual terms. A positive number for the UCB indicates an increase in revenue or a decrease in expenses or net capital investment in cash terms.</w:t>
      </w:r>
    </w:p>
    <w:p w14:paraId="762F7C04" w14:textId="77777777" w:rsidR="00916340" w:rsidRPr="00916340" w:rsidRDefault="00916340" w:rsidP="00916340">
      <w:pPr>
        <w:spacing w:after="0" w:line="240" w:lineRule="auto"/>
      </w:pPr>
    </w:p>
    <w:tbl>
      <w:tblPr>
        <w:tblStyle w:val="TableGrid"/>
        <w:tblW w:w="5000" w:type="pct"/>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402"/>
      </w:tblGrid>
      <w:tr w:rsidR="005E1308" w:rsidRPr="00976DDC" w14:paraId="7AFF7504" w14:textId="77777777" w:rsidTr="64EA513A">
        <w:tc>
          <w:tcPr>
            <w:tcW w:w="5000" w:type="pct"/>
          </w:tcPr>
          <w:p w14:paraId="65E05FCD" w14:textId="77777777" w:rsidR="005E1308" w:rsidRPr="00976DDC" w:rsidRDefault="62D40865" w:rsidP="62D40865">
            <w:pPr>
              <w:pStyle w:val="Text"/>
              <w:spacing w:before="120" w:after="120"/>
              <w:rPr>
                <w:rFonts w:asciiTheme="minorHAnsi" w:hAnsiTheme="minorHAnsi"/>
                <w:b/>
                <w:bCs/>
                <w:sz w:val="22"/>
                <w:szCs w:val="22"/>
              </w:rPr>
            </w:pPr>
            <w:r w:rsidRPr="62D40865">
              <w:rPr>
                <w:rFonts w:asciiTheme="minorHAnsi" w:hAnsiTheme="minorHAnsi"/>
                <w:b/>
                <w:bCs/>
                <w:sz w:val="22"/>
                <w:szCs w:val="22"/>
              </w:rPr>
              <w:lastRenderedPageBreak/>
              <w:t>Where relevant, state that the proposal has been costed as a defined or specified amount.</w:t>
            </w:r>
          </w:p>
          <w:p w14:paraId="6BC83754" w14:textId="20993869" w:rsidR="005E1308" w:rsidRPr="00976DDC" w:rsidRDefault="009D2B08" w:rsidP="009D2B08">
            <w:pPr>
              <w:pStyle w:val="Text"/>
              <w:spacing w:before="120" w:after="120"/>
              <w:rPr>
                <w:rFonts w:asciiTheme="minorHAnsi" w:hAnsiTheme="minorHAnsi"/>
                <w:sz w:val="22"/>
                <w:szCs w:val="22"/>
              </w:rPr>
            </w:pPr>
            <w:r w:rsidRPr="6A50058A">
              <w:rPr>
                <w:rFonts w:asciiTheme="minorHAnsi" w:hAnsiTheme="minorHAnsi"/>
                <w:sz w:val="22"/>
                <w:szCs w:val="22"/>
              </w:rPr>
              <w:t xml:space="preserve">The proposal has been costed as a </w:t>
            </w:r>
            <w:r>
              <w:rPr>
                <w:rFonts w:asciiTheme="minorHAnsi" w:hAnsiTheme="minorHAnsi"/>
                <w:sz w:val="22"/>
                <w:szCs w:val="22"/>
              </w:rPr>
              <w:t>s</w:t>
            </w:r>
            <w:r w:rsidR="62D40865" w:rsidRPr="62D40865">
              <w:rPr>
                <w:rFonts w:asciiTheme="minorHAnsi" w:hAnsiTheme="minorHAnsi"/>
                <w:sz w:val="22"/>
                <w:szCs w:val="22"/>
              </w:rPr>
              <w:t>pecified amount</w:t>
            </w:r>
            <w:r>
              <w:rPr>
                <w:rFonts w:asciiTheme="minorHAnsi" w:hAnsiTheme="minorHAnsi"/>
                <w:sz w:val="22"/>
                <w:szCs w:val="22"/>
              </w:rPr>
              <w:t>.</w:t>
            </w:r>
          </w:p>
        </w:tc>
      </w:tr>
      <w:tr w:rsidR="005E1308" w:rsidRPr="00976DDC" w14:paraId="3281B668" w14:textId="77777777" w:rsidTr="64EA513A">
        <w:tc>
          <w:tcPr>
            <w:tcW w:w="5000" w:type="pct"/>
          </w:tcPr>
          <w:p w14:paraId="3539230C" w14:textId="77777777" w:rsidR="005E1308" w:rsidRPr="00976DDC" w:rsidRDefault="62D40865" w:rsidP="62D40865">
            <w:pPr>
              <w:pStyle w:val="Text"/>
              <w:spacing w:before="180" w:after="120"/>
              <w:rPr>
                <w:rFonts w:asciiTheme="minorHAnsi" w:hAnsiTheme="minorHAnsi"/>
                <w:b/>
                <w:bCs/>
                <w:sz w:val="22"/>
                <w:szCs w:val="22"/>
              </w:rPr>
            </w:pPr>
            <w:r w:rsidRPr="62D40865">
              <w:rPr>
                <w:rFonts w:asciiTheme="minorHAnsi" w:hAnsiTheme="minorHAnsi"/>
                <w:b/>
                <w:bCs/>
                <w:sz w:val="22"/>
                <w:szCs w:val="22"/>
              </w:rPr>
              <w:t xml:space="preserve">Where relevant, include separate identification of revenue and expense components. </w:t>
            </w:r>
          </w:p>
          <w:p w14:paraId="3E7FF3F5" w14:textId="17B218C2" w:rsidR="005E1308"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Expense and Revenue</w:t>
            </w:r>
          </w:p>
          <w:tbl>
            <w:tblPr>
              <w:tblStyle w:val="TableGrid"/>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289"/>
              <w:gridCol w:w="1177"/>
              <w:gridCol w:w="1179"/>
              <w:gridCol w:w="1179"/>
              <w:gridCol w:w="1179"/>
              <w:gridCol w:w="1177"/>
            </w:tblGrid>
            <w:tr w:rsidR="000F2A0B" w:rsidRPr="00916340" w14:paraId="266072BA" w14:textId="77777777" w:rsidTr="64EA513A">
              <w:tc>
                <w:tcPr>
                  <w:tcW w:w="1792" w:type="pct"/>
                  <w:shd w:val="clear" w:color="auto" w:fill="auto"/>
                </w:tcPr>
                <w:p w14:paraId="6C132A87" w14:textId="0710B93A" w:rsidR="000F2A0B" w:rsidRPr="00916340" w:rsidRDefault="62D40865" w:rsidP="62D40865">
                  <w:pPr>
                    <w:pStyle w:val="Table-RowHeadings"/>
                    <w:rPr>
                      <w:rFonts w:asciiTheme="minorHAnsi" w:hAnsiTheme="minorHAnsi"/>
                    </w:rPr>
                  </w:pPr>
                  <w:r w:rsidRPr="62D40865">
                    <w:rPr>
                      <w:rFonts w:asciiTheme="minorHAnsi" w:hAnsiTheme="minorHAnsi"/>
                    </w:rPr>
                    <w:t xml:space="preserve">Impact on Fiscal Balance  </w:t>
                  </w:r>
                </w:p>
              </w:tc>
              <w:tc>
                <w:tcPr>
                  <w:tcW w:w="641" w:type="pct"/>
                  <w:shd w:val="clear" w:color="auto" w:fill="auto"/>
                </w:tcPr>
                <w:p w14:paraId="36536F9C" w14:textId="77777777" w:rsidR="000F2A0B" w:rsidRPr="00916340" w:rsidRDefault="64EA513A" w:rsidP="64EA513A">
                  <w:pPr>
                    <w:pStyle w:val="Table-YearlyColumnHeadings"/>
                    <w:rPr>
                      <w:rFonts w:asciiTheme="minorHAnsi" w:hAnsiTheme="minorHAnsi"/>
                    </w:rPr>
                  </w:pPr>
                  <w:r w:rsidRPr="64EA513A">
                    <w:rPr>
                      <w:rFonts w:asciiTheme="minorHAnsi" w:hAnsiTheme="minorHAnsi"/>
                    </w:rPr>
                    <w:t>2021-22</w:t>
                  </w:r>
                </w:p>
              </w:tc>
              <w:tc>
                <w:tcPr>
                  <w:tcW w:w="642" w:type="pct"/>
                  <w:shd w:val="clear" w:color="auto" w:fill="auto"/>
                </w:tcPr>
                <w:p w14:paraId="39ED832C" w14:textId="77777777" w:rsidR="000F2A0B" w:rsidRPr="00916340" w:rsidRDefault="64EA513A" w:rsidP="64EA513A">
                  <w:pPr>
                    <w:pStyle w:val="Table-YearlyColumnHeadings"/>
                    <w:rPr>
                      <w:rFonts w:asciiTheme="minorHAnsi" w:hAnsiTheme="minorHAnsi"/>
                    </w:rPr>
                  </w:pPr>
                  <w:r w:rsidRPr="64EA513A">
                    <w:rPr>
                      <w:rFonts w:asciiTheme="minorHAnsi" w:hAnsiTheme="minorHAnsi"/>
                    </w:rPr>
                    <w:t>2022-23</w:t>
                  </w:r>
                </w:p>
              </w:tc>
              <w:tc>
                <w:tcPr>
                  <w:tcW w:w="642" w:type="pct"/>
                  <w:shd w:val="clear" w:color="auto" w:fill="auto"/>
                </w:tcPr>
                <w:p w14:paraId="67CDFE1B" w14:textId="77777777" w:rsidR="000F2A0B" w:rsidRPr="00916340" w:rsidRDefault="64EA513A" w:rsidP="64EA513A">
                  <w:pPr>
                    <w:pStyle w:val="Table-YearlyColumnHeadings"/>
                    <w:rPr>
                      <w:rFonts w:asciiTheme="minorHAnsi" w:hAnsiTheme="minorHAnsi"/>
                    </w:rPr>
                  </w:pPr>
                  <w:r w:rsidRPr="64EA513A">
                    <w:rPr>
                      <w:rFonts w:asciiTheme="minorHAnsi" w:hAnsiTheme="minorHAnsi"/>
                    </w:rPr>
                    <w:t>2023-24</w:t>
                  </w:r>
                </w:p>
              </w:tc>
              <w:tc>
                <w:tcPr>
                  <w:tcW w:w="642" w:type="pct"/>
                  <w:shd w:val="clear" w:color="auto" w:fill="auto"/>
                </w:tcPr>
                <w:p w14:paraId="649A4AD1" w14:textId="77777777" w:rsidR="000F2A0B" w:rsidRPr="00916340" w:rsidRDefault="64EA513A" w:rsidP="64EA513A">
                  <w:pPr>
                    <w:pStyle w:val="Table-YearlyColumnHeadings"/>
                    <w:rPr>
                      <w:rFonts w:asciiTheme="minorHAnsi" w:hAnsiTheme="minorHAnsi"/>
                    </w:rPr>
                  </w:pPr>
                  <w:r w:rsidRPr="64EA513A">
                    <w:rPr>
                      <w:rFonts w:asciiTheme="minorHAnsi" w:hAnsiTheme="minorHAnsi"/>
                    </w:rPr>
                    <w:t>2024-25</w:t>
                  </w:r>
                </w:p>
              </w:tc>
              <w:tc>
                <w:tcPr>
                  <w:tcW w:w="642" w:type="pct"/>
                  <w:shd w:val="clear" w:color="auto" w:fill="auto"/>
                </w:tcPr>
                <w:p w14:paraId="0E351B2E" w14:textId="77777777" w:rsidR="000F2A0B" w:rsidRPr="00916340" w:rsidRDefault="64EA513A" w:rsidP="64EA513A">
                  <w:pPr>
                    <w:pStyle w:val="Table-YearlyColumnHeadings"/>
                    <w:rPr>
                      <w:rFonts w:asciiTheme="minorHAnsi" w:hAnsiTheme="minorHAnsi"/>
                    </w:rPr>
                  </w:pPr>
                  <w:r w:rsidRPr="64EA513A">
                    <w:rPr>
                      <w:rFonts w:asciiTheme="minorHAnsi" w:hAnsiTheme="minorHAnsi"/>
                    </w:rPr>
                    <w:t>2025-26</w:t>
                  </w:r>
                </w:p>
              </w:tc>
            </w:tr>
            <w:tr w:rsidR="000F2A0B" w:rsidRPr="00916340" w14:paraId="2F1E7A81" w14:textId="77777777" w:rsidTr="64EA513A">
              <w:tc>
                <w:tcPr>
                  <w:tcW w:w="1792" w:type="pct"/>
                </w:tcPr>
                <w:p w14:paraId="5D1E1A31" w14:textId="4E744F89" w:rsidR="000F2A0B" w:rsidRPr="00916340" w:rsidRDefault="62D40865" w:rsidP="62D40865">
                  <w:pPr>
                    <w:pStyle w:val="Table-RowHeadings"/>
                    <w:rPr>
                      <w:rFonts w:asciiTheme="minorHAnsi" w:hAnsiTheme="minorHAnsi"/>
                    </w:rPr>
                  </w:pPr>
                  <w:r w:rsidRPr="62D40865">
                    <w:rPr>
                      <w:rFonts w:asciiTheme="minorHAnsi" w:hAnsiTheme="minorHAnsi"/>
                    </w:rPr>
                    <w:t>Revenue ($m)</w:t>
                  </w:r>
                </w:p>
              </w:tc>
              <w:tc>
                <w:tcPr>
                  <w:tcW w:w="641" w:type="pct"/>
                </w:tcPr>
                <w:p w14:paraId="66DFB4B9" w14:textId="77777777" w:rsidR="000F2A0B"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0.0</w:t>
                  </w:r>
                </w:p>
              </w:tc>
              <w:tc>
                <w:tcPr>
                  <w:tcW w:w="642" w:type="pct"/>
                </w:tcPr>
                <w:p w14:paraId="2F24FEC4" w14:textId="05E28674" w:rsidR="000F2A0B"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-0.4</w:t>
                  </w:r>
                </w:p>
              </w:tc>
              <w:tc>
                <w:tcPr>
                  <w:tcW w:w="642" w:type="pct"/>
                </w:tcPr>
                <w:p w14:paraId="394E6BB6" w14:textId="78E3D17F" w:rsidR="000F2A0B"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-2.2</w:t>
                  </w:r>
                </w:p>
              </w:tc>
              <w:tc>
                <w:tcPr>
                  <w:tcW w:w="642" w:type="pct"/>
                </w:tcPr>
                <w:p w14:paraId="1086FC0A" w14:textId="06AB66D6" w:rsidR="000F2A0B"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-2.9</w:t>
                  </w:r>
                </w:p>
              </w:tc>
              <w:tc>
                <w:tcPr>
                  <w:tcW w:w="642" w:type="pct"/>
                </w:tcPr>
                <w:p w14:paraId="257FB3B9" w14:textId="38846B50" w:rsidR="000F2A0B"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-3.0</w:t>
                  </w:r>
                </w:p>
              </w:tc>
            </w:tr>
            <w:tr w:rsidR="00D2241A" w:rsidRPr="00916340" w14:paraId="7D3F8C64" w14:textId="77777777" w:rsidTr="64EA513A">
              <w:tc>
                <w:tcPr>
                  <w:tcW w:w="1792" w:type="pct"/>
                </w:tcPr>
                <w:p w14:paraId="3F486CF8" w14:textId="5F93CA7C" w:rsidR="00D2241A" w:rsidRPr="00916340" w:rsidRDefault="62D40865" w:rsidP="62D40865">
                  <w:pPr>
                    <w:pStyle w:val="Table-RowHeadings"/>
                    <w:rPr>
                      <w:rFonts w:asciiTheme="minorHAnsi" w:hAnsiTheme="minorHAnsi"/>
                    </w:rPr>
                  </w:pPr>
                  <w:r w:rsidRPr="62D40865">
                    <w:rPr>
                      <w:rFonts w:asciiTheme="minorHAnsi" w:hAnsiTheme="minorHAnsi"/>
                    </w:rPr>
                    <w:t>Expenses of the scheme ($m)</w:t>
                  </w:r>
                </w:p>
              </w:tc>
              <w:tc>
                <w:tcPr>
                  <w:tcW w:w="641" w:type="pct"/>
                </w:tcPr>
                <w:p w14:paraId="58893BE3" w14:textId="52E256B5" w:rsidR="00D2241A" w:rsidRDefault="64EA513A" w:rsidP="64EA513A">
                  <w:pPr>
                    <w:pStyle w:val="Tablefigures"/>
                    <w:rPr>
                      <w:rFonts w:asciiTheme="minorHAnsi" w:hAnsiTheme="minorHAnsi"/>
                      <w:sz w:val="20"/>
                      <w:szCs w:val="20"/>
                    </w:rPr>
                  </w:pPr>
                  <w:r w:rsidRPr="64EA513A">
                    <w:rPr>
                      <w:rFonts w:asciiTheme="minorHAnsi" w:hAnsiTheme="minorHAnsi"/>
                      <w:sz w:val="20"/>
                      <w:szCs w:val="20"/>
                    </w:rPr>
                    <w:t>0.0</w:t>
                  </w:r>
                </w:p>
              </w:tc>
              <w:tc>
                <w:tcPr>
                  <w:tcW w:w="642" w:type="pct"/>
                </w:tcPr>
                <w:p w14:paraId="23CB4C7B" w14:textId="57F7776B" w:rsidR="00D2241A" w:rsidRPr="00990AF6" w:rsidRDefault="64EA513A" w:rsidP="64EA513A">
                  <w:pPr>
                    <w:pStyle w:val="Tablefigures"/>
                    <w:rPr>
                      <w:rFonts w:asciiTheme="minorHAnsi" w:hAnsiTheme="minorHAnsi"/>
                      <w:sz w:val="20"/>
                      <w:szCs w:val="20"/>
                    </w:rPr>
                  </w:pPr>
                  <w:r w:rsidRPr="64EA513A">
                    <w:rPr>
                      <w:rFonts w:asciiTheme="minorHAnsi" w:hAnsiTheme="minorHAnsi"/>
                      <w:sz w:val="20"/>
                      <w:szCs w:val="20"/>
                    </w:rPr>
                    <w:t>1.3</w:t>
                  </w:r>
                </w:p>
              </w:tc>
              <w:tc>
                <w:tcPr>
                  <w:tcW w:w="642" w:type="pct"/>
                </w:tcPr>
                <w:p w14:paraId="4941DC6E" w14:textId="6EDF7427" w:rsidR="00D2241A" w:rsidRPr="00990AF6" w:rsidRDefault="64EA513A" w:rsidP="64EA513A">
                  <w:pPr>
                    <w:pStyle w:val="Tablefigures"/>
                    <w:rPr>
                      <w:rFonts w:asciiTheme="minorHAnsi" w:hAnsiTheme="minorHAnsi"/>
                      <w:sz w:val="20"/>
                      <w:szCs w:val="20"/>
                    </w:rPr>
                  </w:pPr>
                  <w:r w:rsidRPr="64EA513A">
                    <w:rPr>
                      <w:rFonts w:asciiTheme="minorHAnsi" w:hAnsiTheme="minorHAnsi"/>
                      <w:sz w:val="20"/>
                      <w:szCs w:val="20"/>
                    </w:rPr>
                    <w:t>3.7</w:t>
                  </w:r>
                </w:p>
              </w:tc>
              <w:tc>
                <w:tcPr>
                  <w:tcW w:w="642" w:type="pct"/>
                </w:tcPr>
                <w:p w14:paraId="7EB24851" w14:textId="1A280088" w:rsidR="00D2241A" w:rsidRPr="00990AF6" w:rsidRDefault="64EA513A" w:rsidP="64EA513A">
                  <w:pPr>
                    <w:pStyle w:val="Tablefigures"/>
                    <w:rPr>
                      <w:rFonts w:asciiTheme="minorHAnsi" w:hAnsiTheme="minorHAnsi"/>
                      <w:sz w:val="20"/>
                      <w:szCs w:val="20"/>
                    </w:rPr>
                  </w:pPr>
                  <w:r w:rsidRPr="64EA513A">
                    <w:rPr>
                      <w:rFonts w:asciiTheme="minorHAnsi" w:hAnsiTheme="minorHAnsi"/>
                      <w:sz w:val="20"/>
                      <w:szCs w:val="20"/>
                    </w:rPr>
                    <w:t>-0.1</w:t>
                  </w:r>
                </w:p>
              </w:tc>
              <w:tc>
                <w:tcPr>
                  <w:tcW w:w="642" w:type="pct"/>
                </w:tcPr>
                <w:p w14:paraId="188D3BE5" w14:textId="3B6941D8" w:rsidR="00D2241A" w:rsidRPr="00990AF6" w:rsidRDefault="64EA513A" w:rsidP="64EA513A">
                  <w:pPr>
                    <w:pStyle w:val="Tablefigures"/>
                    <w:rPr>
                      <w:rFonts w:asciiTheme="minorHAnsi" w:hAnsiTheme="minorHAnsi"/>
                      <w:sz w:val="20"/>
                      <w:szCs w:val="20"/>
                    </w:rPr>
                  </w:pPr>
                  <w:r w:rsidRPr="64EA513A">
                    <w:rPr>
                      <w:rFonts w:asciiTheme="minorHAnsi" w:hAnsiTheme="minorHAnsi"/>
                      <w:sz w:val="20"/>
                      <w:szCs w:val="20"/>
                    </w:rPr>
                    <w:t>-0.1</w:t>
                  </w:r>
                </w:p>
              </w:tc>
            </w:tr>
            <w:tr w:rsidR="00D2241A" w:rsidRPr="00916340" w14:paraId="4A186ED7" w14:textId="77777777" w:rsidTr="64EA513A">
              <w:tc>
                <w:tcPr>
                  <w:tcW w:w="1792" w:type="pct"/>
                </w:tcPr>
                <w:p w14:paraId="7C992162" w14:textId="4D7043DF" w:rsidR="00D2241A" w:rsidRPr="00916340" w:rsidRDefault="62D40865" w:rsidP="62D40865">
                  <w:pPr>
                    <w:pStyle w:val="Table-RowHeadings"/>
                    <w:rPr>
                      <w:rFonts w:asciiTheme="minorHAnsi" w:hAnsiTheme="minorHAnsi"/>
                    </w:rPr>
                  </w:pPr>
                  <w:r w:rsidRPr="62D40865">
                    <w:rPr>
                      <w:rFonts w:asciiTheme="minorHAnsi" w:hAnsiTheme="minorHAnsi"/>
                    </w:rPr>
                    <w:t>PDI on loans ($m)</w:t>
                  </w:r>
                </w:p>
              </w:tc>
              <w:tc>
                <w:tcPr>
                  <w:tcW w:w="641" w:type="pct"/>
                </w:tcPr>
                <w:p w14:paraId="19A2B01A" w14:textId="07482410" w:rsidR="00D2241A" w:rsidRDefault="64EA513A" w:rsidP="64EA513A">
                  <w:pPr>
                    <w:pStyle w:val="Tablefigures"/>
                    <w:rPr>
                      <w:rFonts w:asciiTheme="minorHAnsi" w:hAnsiTheme="minorHAnsi"/>
                      <w:sz w:val="20"/>
                      <w:szCs w:val="20"/>
                    </w:rPr>
                  </w:pPr>
                  <w:r w:rsidRPr="64EA513A">
                    <w:rPr>
                      <w:rFonts w:asciiTheme="minorHAnsi" w:hAnsiTheme="minorHAnsi"/>
                      <w:sz w:val="20"/>
                      <w:szCs w:val="20"/>
                    </w:rPr>
                    <w:t>0.0</w:t>
                  </w:r>
                </w:p>
              </w:tc>
              <w:tc>
                <w:tcPr>
                  <w:tcW w:w="642" w:type="pct"/>
                </w:tcPr>
                <w:p w14:paraId="114AA6E5" w14:textId="61150100" w:rsidR="00D2241A" w:rsidRPr="00990AF6" w:rsidRDefault="64EA513A" w:rsidP="64EA513A">
                  <w:pPr>
                    <w:pStyle w:val="Tablefigures"/>
                    <w:rPr>
                      <w:rFonts w:asciiTheme="minorHAnsi" w:hAnsiTheme="minorHAnsi"/>
                      <w:sz w:val="20"/>
                      <w:szCs w:val="20"/>
                    </w:rPr>
                  </w:pPr>
                  <w:r w:rsidRPr="64EA513A">
                    <w:rPr>
                      <w:rFonts w:asciiTheme="minorHAnsi" w:hAnsiTheme="minorHAnsi"/>
                      <w:sz w:val="20"/>
                      <w:szCs w:val="20"/>
                    </w:rPr>
                    <w:t>0.2</w:t>
                  </w:r>
                </w:p>
              </w:tc>
              <w:tc>
                <w:tcPr>
                  <w:tcW w:w="642" w:type="pct"/>
                </w:tcPr>
                <w:p w14:paraId="77F163AC" w14:textId="06D554B4" w:rsidR="00D2241A" w:rsidRPr="00990AF6" w:rsidRDefault="64EA513A" w:rsidP="64EA513A">
                  <w:pPr>
                    <w:pStyle w:val="Tablefigures"/>
                    <w:rPr>
                      <w:rFonts w:asciiTheme="minorHAnsi" w:hAnsiTheme="minorHAnsi"/>
                      <w:sz w:val="20"/>
                      <w:szCs w:val="20"/>
                    </w:rPr>
                  </w:pPr>
                  <w:r w:rsidRPr="64EA513A">
                    <w:rPr>
                      <w:rFonts w:asciiTheme="minorHAnsi" w:hAnsiTheme="minorHAnsi"/>
                      <w:sz w:val="20"/>
                      <w:szCs w:val="20"/>
                    </w:rPr>
                    <w:t>1.0</w:t>
                  </w:r>
                </w:p>
              </w:tc>
              <w:tc>
                <w:tcPr>
                  <w:tcW w:w="642" w:type="pct"/>
                </w:tcPr>
                <w:p w14:paraId="0289BE71" w14:textId="0759EAA0" w:rsidR="00D2241A" w:rsidRPr="00990AF6" w:rsidRDefault="64EA513A" w:rsidP="64EA513A">
                  <w:pPr>
                    <w:pStyle w:val="Tablefigures"/>
                    <w:rPr>
                      <w:rFonts w:asciiTheme="minorHAnsi" w:hAnsiTheme="minorHAnsi"/>
                      <w:sz w:val="20"/>
                      <w:szCs w:val="20"/>
                    </w:rPr>
                  </w:pPr>
                  <w:r w:rsidRPr="64EA513A">
                    <w:rPr>
                      <w:rFonts w:asciiTheme="minorHAnsi" w:hAnsiTheme="minorHAnsi"/>
                      <w:sz w:val="20"/>
                      <w:szCs w:val="20"/>
                    </w:rPr>
                    <w:t>1.6</w:t>
                  </w:r>
                </w:p>
              </w:tc>
              <w:tc>
                <w:tcPr>
                  <w:tcW w:w="642" w:type="pct"/>
                </w:tcPr>
                <w:p w14:paraId="795B9963" w14:textId="5167777E" w:rsidR="00D2241A" w:rsidRPr="00990AF6" w:rsidRDefault="64EA513A" w:rsidP="64EA513A">
                  <w:pPr>
                    <w:pStyle w:val="Tablefigures"/>
                    <w:rPr>
                      <w:rFonts w:asciiTheme="minorHAnsi" w:hAnsiTheme="minorHAnsi"/>
                      <w:sz w:val="20"/>
                      <w:szCs w:val="20"/>
                    </w:rPr>
                  </w:pPr>
                  <w:r w:rsidRPr="64EA513A">
                    <w:rPr>
                      <w:rFonts w:asciiTheme="minorHAnsi" w:hAnsiTheme="minorHAnsi"/>
                      <w:sz w:val="20"/>
                      <w:szCs w:val="20"/>
                    </w:rPr>
                    <w:t>1.6</w:t>
                  </w:r>
                </w:p>
              </w:tc>
            </w:tr>
            <w:tr w:rsidR="000F2A0B" w:rsidRPr="00916340" w14:paraId="53A9DD16" w14:textId="77777777" w:rsidTr="64EA513A">
              <w:tc>
                <w:tcPr>
                  <w:tcW w:w="1792" w:type="pct"/>
                </w:tcPr>
                <w:p w14:paraId="3DBE3854" w14:textId="05073D3D" w:rsidR="000F2A0B" w:rsidRPr="00916340" w:rsidRDefault="62D40865" w:rsidP="62D40865">
                  <w:pPr>
                    <w:pStyle w:val="Table-RowHeadings"/>
                    <w:rPr>
                      <w:rFonts w:asciiTheme="minorHAnsi" w:hAnsiTheme="minorHAnsi"/>
                    </w:rPr>
                  </w:pPr>
                  <w:r w:rsidRPr="62D40865">
                    <w:rPr>
                      <w:rFonts w:asciiTheme="minorHAnsi" w:hAnsiTheme="minorHAnsi"/>
                    </w:rPr>
                    <w:t>Total ($m)</w:t>
                  </w:r>
                </w:p>
              </w:tc>
              <w:tc>
                <w:tcPr>
                  <w:tcW w:w="641" w:type="pct"/>
                </w:tcPr>
                <w:p w14:paraId="4583B878" w14:textId="77777777" w:rsidR="000F2A0B"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0.0</w:t>
                  </w:r>
                </w:p>
              </w:tc>
              <w:tc>
                <w:tcPr>
                  <w:tcW w:w="642" w:type="pct"/>
                </w:tcPr>
                <w:p w14:paraId="6948B825" w14:textId="13EF2147" w:rsidR="000F2A0B"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1.2</w:t>
                  </w:r>
                </w:p>
              </w:tc>
              <w:tc>
                <w:tcPr>
                  <w:tcW w:w="642" w:type="pct"/>
                </w:tcPr>
                <w:p w14:paraId="25CD5A81" w14:textId="15059CB1" w:rsidR="000F2A0B"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2.5</w:t>
                  </w:r>
                </w:p>
              </w:tc>
              <w:tc>
                <w:tcPr>
                  <w:tcW w:w="642" w:type="pct"/>
                </w:tcPr>
                <w:p w14:paraId="5215D264" w14:textId="605B3998" w:rsidR="000F2A0B"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-1.5</w:t>
                  </w:r>
                </w:p>
              </w:tc>
              <w:tc>
                <w:tcPr>
                  <w:tcW w:w="642" w:type="pct"/>
                </w:tcPr>
                <w:p w14:paraId="2A3523C4" w14:textId="6732AC79" w:rsidR="000F2A0B"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-1.5</w:t>
                  </w:r>
                </w:p>
              </w:tc>
            </w:tr>
          </w:tbl>
          <w:p w14:paraId="2EE3E43F" w14:textId="4D8166E5" w:rsidR="002954F9"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Payments and Receipts</w:t>
            </w:r>
          </w:p>
          <w:tbl>
            <w:tblPr>
              <w:tblStyle w:val="TableGrid"/>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289"/>
              <w:gridCol w:w="1177"/>
              <w:gridCol w:w="1179"/>
              <w:gridCol w:w="1179"/>
              <w:gridCol w:w="1179"/>
              <w:gridCol w:w="1177"/>
            </w:tblGrid>
            <w:tr w:rsidR="0044227B" w:rsidRPr="00916340" w14:paraId="6F8A7435" w14:textId="77777777" w:rsidTr="64EA513A">
              <w:tc>
                <w:tcPr>
                  <w:tcW w:w="1791" w:type="pct"/>
                  <w:shd w:val="clear" w:color="auto" w:fill="auto"/>
                </w:tcPr>
                <w:p w14:paraId="55B2DBF4" w14:textId="25626C30" w:rsidR="0044227B" w:rsidRPr="00916340" w:rsidRDefault="62D40865" w:rsidP="62D40865">
                  <w:pPr>
                    <w:pStyle w:val="Table-RowHeadings"/>
                    <w:rPr>
                      <w:rFonts w:asciiTheme="minorHAnsi" w:hAnsiTheme="minorHAnsi"/>
                    </w:rPr>
                  </w:pPr>
                  <w:r w:rsidRPr="62D40865">
                    <w:rPr>
                      <w:rFonts w:asciiTheme="minorHAnsi" w:hAnsiTheme="minorHAnsi"/>
                    </w:rPr>
                    <w:t>Impact on Underlying Cash Balance (UCB)</w:t>
                  </w:r>
                </w:p>
              </w:tc>
              <w:tc>
                <w:tcPr>
                  <w:tcW w:w="641" w:type="pct"/>
                  <w:shd w:val="clear" w:color="auto" w:fill="auto"/>
                </w:tcPr>
                <w:p w14:paraId="49ACF6B5" w14:textId="77777777" w:rsidR="0044227B" w:rsidRPr="00916340" w:rsidRDefault="64EA513A" w:rsidP="64EA513A">
                  <w:pPr>
                    <w:pStyle w:val="Table-YearlyColumnHeadings"/>
                    <w:rPr>
                      <w:rFonts w:asciiTheme="minorHAnsi" w:hAnsiTheme="minorHAnsi"/>
                    </w:rPr>
                  </w:pPr>
                  <w:r w:rsidRPr="64EA513A">
                    <w:rPr>
                      <w:rFonts w:asciiTheme="minorHAnsi" w:hAnsiTheme="minorHAnsi"/>
                    </w:rPr>
                    <w:t>2021-22</w:t>
                  </w:r>
                </w:p>
              </w:tc>
              <w:tc>
                <w:tcPr>
                  <w:tcW w:w="642" w:type="pct"/>
                  <w:shd w:val="clear" w:color="auto" w:fill="auto"/>
                </w:tcPr>
                <w:p w14:paraId="0B815A25" w14:textId="77777777" w:rsidR="0044227B" w:rsidRPr="00916340" w:rsidRDefault="64EA513A" w:rsidP="64EA513A">
                  <w:pPr>
                    <w:pStyle w:val="Table-YearlyColumnHeadings"/>
                    <w:rPr>
                      <w:rFonts w:asciiTheme="minorHAnsi" w:hAnsiTheme="minorHAnsi"/>
                    </w:rPr>
                  </w:pPr>
                  <w:r w:rsidRPr="64EA513A">
                    <w:rPr>
                      <w:rFonts w:asciiTheme="minorHAnsi" w:hAnsiTheme="minorHAnsi"/>
                    </w:rPr>
                    <w:t>2022-23</w:t>
                  </w:r>
                </w:p>
              </w:tc>
              <w:tc>
                <w:tcPr>
                  <w:tcW w:w="642" w:type="pct"/>
                  <w:shd w:val="clear" w:color="auto" w:fill="auto"/>
                </w:tcPr>
                <w:p w14:paraId="7C6BEF7D" w14:textId="77777777" w:rsidR="0044227B" w:rsidRPr="00916340" w:rsidRDefault="64EA513A" w:rsidP="64EA513A">
                  <w:pPr>
                    <w:pStyle w:val="Table-YearlyColumnHeadings"/>
                    <w:rPr>
                      <w:rFonts w:asciiTheme="minorHAnsi" w:hAnsiTheme="minorHAnsi"/>
                    </w:rPr>
                  </w:pPr>
                  <w:r w:rsidRPr="64EA513A">
                    <w:rPr>
                      <w:rFonts w:asciiTheme="minorHAnsi" w:hAnsiTheme="minorHAnsi"/>
                    </w:rPr>
                    <w:t>2023-24</w:t>
                  </w:r>
                </w:p>
              </w:tc>
              <w:tc>
                <w:tcPr>
                  <w:tcW w:w="642" w:type="pct"/>
                  <w:shd w:val="clear" w:color="auto" w:fill="auto"/>
                </w:tcPr>
                <w:p w14:paraId="53CF9B80" w14:textId="77777777" w:rsidR="0044227B" w:rsidRPr="00916340" w:rsidRDefault="64EA513A" w:rsidP="64EA513A">
                  <w:pPr>
                    <w:pStyle w:val="Table-YearlyColumnHeadings"/>
                    <w:rPr>
                      <w:rFonts w:asciiTheme="minorHAnsi" w:hAnsiTheme="minorHAnsi"/>
                    </w:rPr>
                  </w:pPr>
                  <w:r w:rsidRPr="64EA513A">
                    <w:rPr>
                      <w:rFonts w:asciiTheme="minorHAnsi" w:hAnsiTheme="minorHAnsi"/>
                    </w:rPr>
                    <w:t>2024-25</w:t>
                  </w:r>
                </w:p>
              </w:tc>
              <w:tc>
                <w:tcPr>
                  <w:tcW w:w="641" w:type="pct"/>
                  <w:shd w:val="clear" w:color="auto" w:fill="auto"/>
                </w:tcPr>
                <w:p w14:paraId="5E8D5889" w14:textId="77777777" w:rsidR="0044227B" w:rsidRPr="00916340" w:rsidRDefault="64EA513A" w:rsidP="64EA513A">
                  <w:pPr>
                    <w:pStyle w:val="Table-YearlyColumnHeadings"/>
                    <w:rPr>
                      <w:rFonts w:asciiTheme="minorHAnsi" w:hAnsiTheme="minorHAnsi"/>
                    </w:rPr>
                  </w:pPr>
                  <w:r w:rsidRPr="64EA513A">
                    <w:rPr>
                      <w:rFonts w:asciiTheme="minorHAnsi" w:hAnsiTheme="minorHAnsi"/>
                    </w:rPr>
                    <w:t>2025-26</w:t>
                  </w:r>
                </w:p>
              </w:tc>
            </w:tr>
            <w:tr w:rsidR="0044227B" w:rsidRPr="00916340" w14:paraId="5B13B9CF" w14:textId="77777777" w:rsidTr="64EA513A">
              <w:tc>
                <w:tcPr>
                  <w:tcW w:w="1791" w:type="pct"/>
                </w:tcPr>
                <w:p w14:paraId="2D98F96F" w14:textId="1AC20631" w:rsidR="0044227B" w:rsidRPr="00916340" w:rsidRDefault="62D40865" w:rsidP="62D40865">
                  <w:pPr>
                    <w:pStyle w:val="Table-RowHeadings"/>
                    <w:rPr>
                      <w:rFonts w:asciiTheme="minorHAnsi" w:hAnsiTheme="minorHAnsi"/>
                    </w:rPr>
                  </w:pPr>
                  <w:r w:rsidRPr="62D40865">
                    <w:rPr>
                      <w:rFonts w:asciiTheme="minorHAnsi" w:hAnsiTheme="minorHAnsi"/>
                    </w:rPr>
                    <w:t>Receipts ($m)</w:t>
                  </w:r>
                </w:p>
              </w:tc>
              <w:tc>
                <w:tcPr>
                  <w:tcW w:w="641" w:type="pct"/>
                </w:tcPr>
                <w:p w14:paraId="60A5EB9E" w14:textId="77777777" w:rsidR="0044227B"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0.0</w:t>
                  </w:r>
                </w:p>
              </w:tc>
              <w:tc>
                <w:tcPr>
                  <w:tcW w:w="642" w:type="pct"/>
                </w:tcPr>
                <w:p w14:paraId="584CF380" w14:textId="312FFD35" w:rsidR="0044227B"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-0.2</w:t>
                  </w:r>
                </w:p>
              </w:tc>
              <w:tc>
                <w:tcPr>
                  <w:tcW w:w="642" w:type="pct"/>
                </w:tcPr>
                <w:p w14:paraId="1B264CF2" w14:textId="52AFEC43" w:rsidR="0044227B"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-1.3</w:t>
                  </w:r>
                </w:p>
              </w:tc>
              <w:tc>
                <w:tcPr>
                  <w:tcW w:w="642" w:type="pct"/>
                </w:tcPr>
                <w:p w14:paraId="2762926B" w14:textId="07B1B853" w:rsidR="0044227B"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-1.7</w:t>
                  </w:r>
                </w:p>
              </w:tc>
              <w:tc>
                <w:tcPr>
                  <w:tcW w:w="641" w:type="pct"/>
                </w:tcPr>
                <w:p w14:paraId="0B97D6AF" w14:textId="44DCF707" w:rsidR="0044227B"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-1.7</w:t>
                  </w:r>
                </w:p>
              </w:tc>
            </w:tr>
            <w:tr w:rsidR="00D2241A" w:rsidRPr="00916340" w14:paraId="502369A0" w14:textId="77777777" w:rsidTr="64EA513A">
              <w:tc>
                <w:tcPr>
                  <w:tcW w:w="1791" w:type="pct"/>
                </w:tcPr>
                <w:p w14:paraId="2CC6E35D" w14:textId="7B6A9737" w:rsidR="00D2241A" w:rsidRPr="00916340" w:rsidRDefault="62D40865" w:rsidP="62D40865">
                  <w:pPr>
                    <w:pStyle w:val="Table-RowHeadings"/>
                    <w:rPr>
                      <w:rFonts w:asciiTheme="minorHAnsi" w:hAnsiTheme="minorHAnsi"/>
                    </w:rPr>
                  </w:pPr>
                  <w:r w:rsidRPr="62D40865">
                    <w:rPr>
                      <w:rFonts w:asciiTheme="minorHAnsi" w:hAnsiTheme="minorHAnsi"/>
                    </w:rPr>
                    <w:t>Payments for the scheme ($m)</w:t>
                  </w:r>
                </w:p>
              </w:tc>
              <w:tc>
                <w:tcPr>
                  <w:tcW w:w="641" w:type="pct"/>
                </w:tcPr>
                <w:p w14:paraId="650D329C" w14:textId="0C4872FB" w:rsidR="00D2241A" w:rsidRDefault="64EA513A" w:rsidP="64EA513A">
                  <w:pPr>
                    <w:pStyle w:val="Tablefigures"/>
                    <w:rPr>
                      <w:rFonts w:asciiTheme="minorHAnsi" w:hAnsiTheme="minorHAnsi"/>
                      <w:sz w:val="20"/>
                      <w:szCs w:val="20"/>
                    </w:rPr>
                  </w:pPr>
                  <w:r w:rsidRPr="64EA513A">
                    <w:rPr>
                      <w:rFonts w:asciiTheme="minorHAnsi" w:hAnsiTheme="minorHAnsi"/>
                      <w:sz w:val="20"/>
                      <w:szCs w:val="20"/>
                    </w:rPr>
                    <w:t>0.0</w:t>
                  </w:r>
                </w:p>
              </w:tc>
              <w:tc>
                <w:tcPr>
                  <w:tcW w:w="642" w:type="pct"/>
                </w:tcPr>
                <w:p w14:paraId="465B83FB" w14:textId="2D7EA964" w:rsidR="00D2241A" w:rsidRPr="00990AF6" w:rsidRDefault="64EA513A" w:rsidP="64EA513A">
                  <w:pPr>
                    <w:pStyle w:val="Tablefigures"/>
                    <w:rPr>
                      <w:rFonts w:asciiTheme="minorHAnsi" w:hAnsiTheme="minorHAnsi"/>
                      <w:sz w:val="20"/>
                      <w:szCs w:val="20"/>
                    </w:rPr>
                  </w:pPr>
                  <w:r w:rsidRPr="64EA513A">
                    <w:rPr>
                      <w:rFonts w:asciiTheme="minorHAnsi" w:hAnsiTheme="minorHAnsi"/>
                      <w:sz w:val="20"/>
                      <w:szCs w:val="20"/>
                    </w:rPr>
                    <w:t>-0.9</w:t>
                  </w:r>
                </w:p>
              </w:tc>
              <w:tc>
                <w:tcPr>
                  <w:tcW w:w="642" w:type="pct"/>
                </w:tcPr>
                <w:p w14:paraId="3FE310F2" w14:textId="3EAE475F" w:rsidR="00D2241A" w:rsidRPr="00990AF6" w:rsidRDefault="64EA513A" w:rsidP="64EA513A">
                  <w:pPr>
                    <w:pStyle w:val="Tablefigures"/>
                    <w:rPr>
                      <w:rFonts w:asciiTheme="minorHAnsi" w:hAnsiTheme="minorHAnsi"/>
                      <w:sz w:val="20"/>
                      <w:szCs w:val="20"/>
                    </w:rPr>
                  </w:pPr>
                  <w:r w:rsidRPr="64EA513A">
                    <w:rPr>
                      <w:rFonts w:asciiTheme="minorHAnsi" w:hAnsiTheme="minorHAnsi"/>
                      <w:sz w:val="20"/>
                      <w:szCs w:val="20"/>
                    </w:rPr>
                    <w:t>-0.8</w:t>
                  </w:r>
                </w:p>
              </w:tc>
              <w:tc>
                <w:tcPr>
                  <w:tcW w:w="642" w:type="pct"/>
                </w:tcPr>
                <w:p w14:paraId="050DE8D0" w14:textId="07B2B543" w:rsidR="00D2241A" w:rsidRPr="00990AF6" w:rsidRDefault="64EA513A" w:rsidP="64EA513A">
                  <w:pPr>
                    <w:pStyle w:val="Tablefigures"/>
                    <w:rPr>
                      <w:rFonts w:asciiTheme="minorHAnsi" w:hAnsiTheme="minorHAnsi"/>
                      <w:sz w:val="20"/>
                      <w:szCs w:val="20"/>
                    </w:rPr>
                  </w:pPr>
                  <w:r w:rsidRPr="64EA513A">
                    <w:rPr>
                      <w:rFonts w:asciiTheme="minorHAnsi" w:hAnsiTheme="minorHAnsi"/>
                      <w:sz w:val="20"/>
                      <w:szCs w:val="20"/>
                    </w:rPr>
                    <w:t>-0.5</w:t>
                  </w:r>
                </w:p>
              </w:tc>
              <w:tc>
                <w:tcPr>
                  <w:tcW w:w="641" w:type="pct"/>
                </w:tcPr>
                <w:p w14:paraId="01A91F53" w14:textId="78928BDE" w:rsidR="00D2241A" w:rsidRPr="00990AF6" w:rsidRDefault="64EA513A" w:rsidP="64EA513A">
                  <w:pPr>
                    <w:pStyle w:val="Tablefigures"/>
                    <w:rPr>
                      <w:rFonts w:asciiTheme="minorHAnsi" w:hAnsiTheme="minorHAnsi"/>
                      <w:sz w:val="20"/>
                      <w:szCs w:val="20"/>
                    </w:rPr>
                  </w:pPr>
                  <w:r w:rsidRPr="64EA513A">
                    <w:rPr>
                      <w:rFonts w:asciiTheme="minorHAnsi" w:hAnsiTheme="minorHAnsi"/>
                      <w:sz w:val="20"/>
                      <w:szCs w:val="20"/>
                    </w:rPr>
                    <w:t>-0.5</w:t>
                  </w:r>
                </w:p>
              </w:tc>
            </w:tr>
            <w:tr w:rsidR="00D2241A" w:rsidRPr="00916340" w14:paraId="143A9555" w14:textId="77777777" w:rsidTr="64EA513A">
              <w:tc>
                <w:tcPr>
                  <w:tcW w:w="1791" w:type="pct"/>
                </w:tcPr>
                <w:p w14:paraId="4776F7E8" w14:textId="1807A887" w:rsidR="00D2241A" w:rsidRPr="00916340" w:rsidRDefault="62D40865" w:rsidP="62D40865">
                  <w:pPr>
                    <w:pStyle w:val="Table-RowHeadings"/>
                    <w:rPr>
                      <w:rFonts w:asciiTheme="minorHAnsi" w:hAnsiTheme="minorHAnsi"/>
                    </w:rPr>
                  </w:pPr>
                  <w:r w:rsidRPr="62D40865">
                    <w:rPr>
                      <w:rFonts w:asciiTheme="minorHAnsi" w:hAnsiTheme="minorHAnsi"/>
                    </w:rPr>
                    <w:t>PDI on loans ($m)</w:t>
                  </w:r>
                </w:p>
              </w:tc>
              <w:tc>
                <w:tcPr>
                  <w:tcW w:w="641" w:type="pct"/>
                </w:tcPr>
                <w:p w14:paraId="3A114C9C" w14:textId="4F1E9B68" w:rsidR="00D2241A" w:rsidRDefault="64EA513A" w:rsidP="64EA513A">
                  <w:pPr>
                    <w:pStyle w:val="Tablefigures"/>
                    <w:rPr>
                      <w:rFonts w:asciiTheme="minorHAnsi" w:hAnsiTheme="minorHAnsi"/>
                      <w:sz w:val="20"/>
                      <w:szCs w:val="20"/>
                    </w:rPr>
                  </w:pPr>
                  <w:r w:rsidRPr="64EA513A">
                    <w:rPr>
                      <w:rFonts w:asciiTheme="minorHAnsi" w:hAnsiTheme="minorHAnsi"/>
                      <w:sz w:val="20"/>
                      <w:szCs w:val="20"/>
                    </w:rPr>
                    <w:t>0.0</w:t>
                  </w:r>
                </w:p>
              </w:tc>
              <w:tc>
                <w:tcPr>
                  <w:tcW w:w="642" w:type="pct"/>
                </w:tcPr>
                <w:p w14:paraId="44B4C188" w14:textId="2B24F173" w:rsidR="00D2241A" w:rsidRPr="00990AF6" w:rsidRDefault="64EA513A" w:rsidP="64EA513A">
                  <w:pPr>
                    <w:pStyle w:val="Tablefigures"/>
                    <w:rPr>
                      <w:rFonts w:asciiTheme="minorHAnsi" w:hAnsiTheme="minorHAnsi"/>
                      <w:sz w:val="20"/>
                      <w:szCs w:val="20"/>
                    </w:rPr>
                  </w:pPr>
                  <w:r w:rsidRPr="64EA513A">
                    <w:rPr>
                      <w:rFonts w:asciiTheme="minorHAnsi" w:hAnsiTheme="minorHAnsi"/>
                      <w:sz w:val="20"/>
                      <w:szCs w:val="20"/>
                    </w:rPr>
                    <w:t>0.2</w:t>
                  </w:r>
                </w:p>
              </w:tc>
              <w:tc>
                <w:tcPr>
                  <w:tcW w:w="642" w:type="pct"/>
                </w:tcPr>
                <w:p w14:paraId="65715579" w14:textId="5258C389" w:rsidR="00D2241A" w:rsidRPr="00990AF6" w:rsidRDefault="64EA513A" w:rsidP="64EA513A">
                  <w:pPr>
                    <w:pStyle w:val="Tablefigures"/>
                    <w:rPr>
                      <w:rFonts w:asciiTheme="minorHAnsi" w:hAnsiTheme="minorHAnsi"/>
                      <w:sz w:val="20"/>
                      <w:szCs w:val="20"/>
                    </w:rPr>
                  </w:pPr>
                  <w:r w:rsidRPr="64EA513A">
                    <w:rPr>
                      <w:rFonts w:asciiTheme="minorHAnsi" w:hAnsiTheme="minorHAnsi"/>
                      <w:sz w:val="20"/>
                      <w:szCs w:val="20"/>
                    </w:rPr>
                    <w:t>1.0</w:t>
                  </w:r>
                </w:p>
              </w:tc>
              <w:tc>
                <w:tcPr>
                  <w:tcW w:w="642" w:type="pct"/>
                </w:tcPr>
                <w:p w14:paraId="47E8DF58" w14:textId="40396B78" w:rsidR="00D2241A" w:rsidRPr="00990AF6" w:rsidRDefault="64EA513A" w:rsidP="64EA513A">
                  <w:pPr>
                    <w:pStyle w:val="Tablefigures"/>
                    <w:rPr>
                      <w:rFonts w:asciiTheme="minorHAnsi" w:hAnsiTheme="minorHAnsi"/>
                      <w:sz w:val="20"/>
                      <w:szCs w:val="20"/>
                    </w:rPr>
                  </w:pPr>
                  <w:r w:rsidRPr="64EA513A">
                    <w:rPr>
                      <w:rFonts w:asciiTheme="minorHAnsi" w:hAnsiTheme="minorHAnsi"/>
                      <w:sz w:val="20"/>
                      <w:szCs w:val="20"/>
                    </w:rPr>
                    <w:t>1.6</w:t>
                  </w:r>
                </w:p>
              </w:tc>
              <w:tc>
                <w:tcPr>
                  <w:tcW w:w="641" w:type="pct"/>
                </w:tcPr>
                <w:p w14:paraId="4BCD0B62" w14:textId="750EFF8C" w:rsidR="00D2241A" w:rsidRPr="00990AF6" w:rsidRDefault="64EA513A" w:rsidP="64EA513A">
                  <w:pPr>
                    <w:pStyle w:val="Tablefigures"/>
                    <w:rPr>
                      <w:rFonts w:asciiTheme="minorHAnsi" w:hAnsiTheme="minorHAnsi"/>
                      <w:sz w:val="20"/>
                      <w:szCs w:val="20"/>
                    </w:rPr>
                  </w:pPr>
                  <w:r w:rsidRPr="64EA513A">
                    <w:rPr>
                      <w:rFonts w:asciiTheme="minorHAnsi" w:hAnsiTheme="minorHAnsi"/>
                      <w:sz w:val="20"/>
                      <w:szCs w:val="20"/>
                    </w:rPr>
                    <w:t>1.6</w:t>
                  </w:r>
                </w:p>
              </w:tc>
            </w:tr>
            <w:tr w:rsidR="00FE34E2" w:rsidRPr="00916340" w14:paraId="79520FF3" w14:textId="77777777" w:rsidTr="64EA513A">
              <w:tc>
                <w:tcPr>
                  <w:tcW w:w="1791" w:type="pct"/>
                </w:tcPr>
                <w:p w14:paraId="6F3621CF" w14:textId="0FA0C3D0" w:rsidR="00FE34E2" w:rsidRDefault="62D40865" w:rsidP="62D40865">
                  <w:pPr>
                    <w:pStyle w:val="Table-RowHeadings"/>
                    <w:rPr>
                      <w:rFonts w:asciiTheme="minorHAnsi" w:hAnsiTheme="minorHAnsi"/>
                    </w:rPr>
                  </w:pPr>
                  <w:r w:rsidRPr="62D40865">
                    <w:rPr>
                      <w:rFonts w:asciiTheme="minorHAnsi" w:hAnsiTheme="minorHAnsi"/>
                    </w:rPr>
                    <w:t>Total ($m)</w:t>
                  </w:r>
                </w:p>
              </w:tc>
              <w:tc>
                <w:tcPr>
                  <w:tcW w:w="641" w:type="pct"/>
                </w:tcPr>
                <w:p w14:paraId="0ABBF55E" w14:textId="1A053192" w:rsidR="00FE34E2" w:rsidRDefault="64EA513A" w:rsidP="64EA513A">
                  <w:pPr>
                    <w:pStyle w:val="Tablefigures"/>
                    <w:rPr>
                      <w:rFonts w:asciiTheme="minorHAnsi" w:hAnsiTheme="minorHAnsi"/>
                      <w:sz w:val="20"/>
                      <w:szCs w:val="20"/>
                    </w:rPr>
                  </w:pPr>
                  <w:r w:rsidRPr="64EA513A">
                    <w:rPr>
                      <w:rFonts w:asciiTheme="minorHAnsi" w:hAnsiTheme="minorHAnsi"/>
                      <w:sz w:val="20"/>
                      <w:szCs w:val="20"/>
                    </w:rPr>
                    <w:t>0.0</w:t>
                  </w:r>
                </w:p>
              </w:tc>
              <w:tc>
                <w:tcPr>
                  <w:tcW w:w="642" w:type="pct"/>
                </w:tcPr>
                <w:p w14:paraId="67C0D1AA" w14:textId="544B6D34" w:rsidR="00FE34E2" w:rsidRDefault="64EA513A" w:rsidP="64EA513A">
                  <w:pPr>
                    <w:pStyle w:val="Tablefigures"/>
                    <w:rPr>
                      <w:rFonts w:asciiTheme="minorHAnsi" w:hAnsiTheme="minorHAnsi"/>
                      <w:sz w:val="20"/>
                      <w:szCs w:val="20"/>
                    </w:rPr>
                  </w:pPr>
                  <w:r w:rsidRPr="64EA513A">
                    <w:rPr>
                      <w:rFonts w:asciiTheme="minorHAnsi" w:hAnsiTheme="minorHAnsi"/>
                      <w:sz w:val="20"/>
                      <w:szCs w:val="20"/>
                    </w:rPr>
                    <w:t>-0.9</w:t>
                  </w:r>
                </w:p>
              </w:tc>
              <w:tc>
                <w:tcPr>
                  <w:tcW w:w="642" w:type="pct"/>
                </w:tcPr>
                <w:p w14:paraId="6B3861A3" w14:textId="6CA94273" w:rsidR="00FE34E2" w:rsidRDefault="64EA513A" w:rsidP="64EA513A">
                  <w:pPr>
                    <w:pStyle w:val="Tablefigures"/>
                    <w:rPr>
                      <w:rFonts w:asciiTheme="minorHAnsi" w:hAnsiTheme="minorHAnsi"/>
                      <w:sz w:val="20"/>
                      <w:szCs w:val="20"/>
                    </w:rPr>
                  </w:pPr>
                  <w:r w:rsidRPr="64EA513A">
                    <w:rPr>
                      <w:rFonts w:asciiTheme="minorHAnsi" w:hAnsiTheme="minorHAnsi"/>
                      <w:sz w:val="20"/>
                      <w:szCs w:val="20"/>
                    </w:rPr>
                    <w:t>-1.1</w:t>
                  </w:r>
                </w:p>
              </w:tc>
              <w:tc>
                <w:tcPr>
                  <w:tcW w:w="642" w:type="pct"/>
                </w:tcPr>
                <w:p w14:paraId="6D06A638" w14:textId="34671875" w:rsidR="00FE34E2" w:rsidRDefault="64EA513A" w:rsidP="64EA513A">
                  <w:pPr>
                    <w:pStyle w:val="Tablefigures"/>
                    <w:rPr>
                      <w:rFonts w:asciiTheme="minorHAnsi" w:hAnsiTheme="minorHAnsi"/>
                      <w:sz w:val="20"/>
                      <w:szCs w:val="20"/>
                    </w:rPr>
                  </w:pPr>
                  <w:r w:rsidRPr="64EA513A">
                    <w:rPr>
                      <w:rFonts w:asciiTheme="minorHAnsi" w:hAnsiTheme="minorHAnsi"/>
                      <w:sz w:val="20"/>
                      <w:szCs w:val="20"/>
                    </w:rPr>
                    <w:t>-0.7</w:t>
                  </w:r>
                </w:p>
              </w:tc>
              <w:tc>
                <w:tcPr>
                  <w:tcW w:w="641" w:type="pct"/>
                </w:tcPr>
                <w:p w14:paraId="3323A3DC" w14:textId="7928D433" w:rsidR="00FE34E2" w:rsidRDefault="64EA513A" w:rsidP="64EA513A">
                  <w:pPr>
                    <w:pStyle w:val="Tablefigures"/>
                    <w:rPr>
                      <w:rFonts w:asciiTheme="minorHAnsi" w:hAnsiTheme="minorHAnsi"/>
                      <w:sz w:val="20"/>
                      <w:szCs w:val="20"/>
                    </w:rPr>
                  </w:pPr>
                  <w:r w:rsidRPr="64EA513A">
                    <w:rPr>
                      <w:rFonts w:asciiTheme="minorHAnsi" w:hAnsiTheme="minorHAnsi"/>
                      <w:sz w:val="20"/>
                      <w:szCs w:val="20"/>
                    </w:rPr>
                    <w:t>-0.6</w:t>
                  </w:r>
                </w:p>
              </w:tc>
            </w:tr>
          </w:tbl>
          <w:p w14:paraId="6C02624B" w14:textId="38339B74" w:rsidR="0044227B" w:rsidRPr="00976DDC" w:rsidRDefault="006A1D59" w:rsidP="00796086">
            <w:pPr>
              <w:spacing w:before="120" w:after="120" w:line="240" w:lineRule="auto"/>
              <w:jc w:val="left"/>
            </w:pPr>
            <w:r w:rsidRPr="00C72EBF">
              <w:rPr>
                <w:rFonts w:asciiTheme="minorHAnsi" w:eastAsiaTheme="minorHAnsi" w:hAnsiTheme="minorHAnsi" w:cstheme="minorBidi"/>
                <w:sz w:val="22"/>
                <w:szCs w:val="22"/>
                <w:lang w:eastAsia="en-US"/>
              </w:rPr>
              <w:t xml:space="preserve">There </w:t>
            </w:r>
            <w:r>
              <w:rPr>
                <w:rFonts w:asciiTheme="minorHAnsi" w:hAnsiTheme="minorHAnsi"/>
                <w:sz w:val="22"/>
                <w:szCs w:val="22"/>
              </w:rPr>
              <w:t>would</w:t>
            </w:r>
            <w:r w:rsidRPr="00C72EBF">
              <w:rPr>
                <w:rFonts w:asciiTheme="minorHAnsi" w:eastAsiaTheme="minorHAnsi" w:hAnsiTheme="minorHAnsi" w:cstheme="minorBidi"/>
                <w:sz w:val="22"/>
                <w:szCs w:val="22"/>
                <w:lang w:eastAsia="en-US"/>
              </w:rPr>
              <w:t xml:space="preserve"> also be </w:t>
            </w:r>
            <w:r>
              <w:rPr>
                <w:rFonts w:asciiTheme="minorHAnsi" w:eastAsiaTheme="minorHAnsi" w:hAnsiTheme="minorHAnsi" w:cstheme="minorBidi"/>
                <w:sz w:val="22"/>
                <w:szCs w:val="22"/>
                <w:lang w:eastAsia="en-US"/>
              </w:rPr>
              <w:t xml:space="preserve">a reduction </w:t>
            </w:r>
            <w:r>
              <w:rPr>
                <w:rFonts w:asciiTheme="minorHAnsi" w:eastAsiaTheme="minorHAnsi" w:hAnsiTheme="minorHAnsi" w:cstheme="minorBidi"/>
                <w:sz w:val="22"/>
                <w:szCs w:val="22"/>
                <w:lang w:eastAsia="en-US"/>
              </w:rPr>
              <w:t>in</w:t>
            </w:r>
            <w:r w:rsidRPr="00C72EBF">
              <w:rPr>
                <w:rFonts w:asciiTheme="minorHAnsi" w:eastAsiaTheme="minorHAnsi" w:hAnsiTheme="minorHAnsi" w:cstheme="minorBidi"/>
                <w:sz w:val="22"/>
                <w:szCs w:val="22"/>
                <w:lang w:eastAsia="en-US"/>
              </w:rPr>
              <w:t xml:space="preserve"> gross</w:t>
            </w:r>
            <w:r w:rsidRPr="00C72EBF">
              <w:rPr>
                <w:rFonts w:asciiTheme="minorHAnsi" w:eastAsiaTheme="minorHAnsi" w:hAnsiTheme="minorHAnsi" w:cstheme="minorBidi"/>
                <w:sz w:val="22"/>
                <w:szCs w:val="22"/>
                <w:lang w:eastAsia="en-US"/>
              </w:rPr>
              <w:t xml:space="preserve"> debt of up to $7</w:t>
            </w:r>
            <w:r>
              <w:rPr>
                <w:rFonts w:asciiTheme="minorHAnsi" w:eastAsiaTheme="minorHAnsi" w:hAnsiTheme="minorHAnsi" w:cstheme="minorBidi"/>
                <w:sz w:val="22"/>
                <w:szCs w:val="22"/>
                <w:lang w:eastAsia="en-US"/>
              </w:rPr>
              <w:t>3.8</w:t>
            </w:r>
            <w:r w:rsidRPr="00C72EBF">
              <w:rPr>
                <w:rFonts w:asciiTheme="minorHAnsi" w:eastAsiaTheme="minorHAnsi" w:hAnsiTheme="minorHAnsi" w:cstheme="minorBidi"/>
                <w:sz w:val="22"/>
                <w:szCs w:val="22"/>
                <w:lang w:eastAsia="en-US"/>
              </w:rPr>
              <w:t xml:space="preserve"> million in 2025-26 from not issuing the farm business concessional loans through the RIC.</w:t>
            </w:r>
          </w:p>
        </w:tc>
      </w:tr>
      <w:tr w:rsidR="005E1308" w:rsidRPr="00976DDC" w14:paraId="68E7F335" w14:textId="77777777" w:rsidTr="64EA513A">
        <w:tc>
          <w:tcPr>
            <w:tcW w:w="5000" w:type="pct"/>
          </w:tcPr>
          <w:p w14:paraId="353F81A2" w14:textId="77777777" w:rsidR="005E1308" w:rsidRPr="00976DDC" w:rsidRDefault="62D40865" w:rsidP="62D40865">
            <w:pPr>
              <w:pStyle w:val="Text"/>
              <w:spacing w:before="180" w:after="120"/>
              <w:rPr>
                <w:rFonts w:asciiTheme="minorHAnsi" w:hAnsiTheme="minorHAnsi"/>
                <w:b/>
                <w:bCs/>
                <w:sz w:val="22"/>
                <w:szCs w:val="22"/>
              </w:rPr>
            </w:pPr>
            <w:r w:rsidRPr="62D40865">
              <w:rPr>
                <w:rFonts w:asciiTheme="minorHAnsi" w:hAnsiTheme="minorHAnsi"/>
                <w:b/>
                <w:bCs/>
                <w:sz w:val="22"/>
                <w:szCs w:val="22"/>
              </w:rPr>
              <w:t>Where appropriate, include a range for the costing or sensitivity analysis.</w:t>
            </w:r>
          </w:p>
          <w:p w14:paraId="605CF320" w14:textId="4ECDA6C8" w:rsidR="005E1308" w:rsidRPr="00976DDC"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Not applicable</w:t>
            </w:r>
            <w:r w:rsidR="00F12B82">
              <w:rPr>
                <w:rFonts w:asciiTheme="minorHAnsi" w:hAnsiTheme="minorHAnsi"/>
                <w:sz w:val="22"/>
                <w:szCs w:val="22"/>
              </w:rPr>
              <w:t>.</w:t>
            </w:r>
          </w:p>
        </w:tc>
      </w:tr>
      <w:tr w:rsidR="005E1308" w:rsidRPr="00976DDC" w14:paraId="365B042D" w14:textId="77777777" w:rsidTr="64EA513A">
        <w:tc>
          <w:tcPr>
            <w:tcW w:w="5000" w:type="pct"/>
          </w:tcPr>
          <w:p w14:paraId="256A1744" w14:textId="77777777" w:rsidR="005E1308" w:rsidRPr="00976DDC" w:rsidRDefault="62D40865" w:rsidP="62D40865">
            <w:pPr>
              <w:pStyle w:val="Text"/>
              <w:spacing w:before="180" w:after="120"/>
              <w:rPr>
                <w:rFonts w:asciiTheme="minorHAnsi" w:hAnsiTheme="minorHAnsi"/>
                <w:b/>
                <w:bCs/>
                <w:sz w:val="22"/>
                <w:szCs w:val="22"/>
              </w:rPr>
            </w:pPr>
            <w:r w:rsidRPr="62D40865">
              <w:rPr>
                <w:rFonts w:asciiTheme="minorHAnsi" w:hAnsiTheme="minorHAnsi"/>
                <w:b/>
                <w:bCs/>
                <w:sz w:val="22"/>
                <w:szCs w:val="22"/>
              </w:rPr>
              <w:t>Qualifications to the costing (including reasons for the costing not being comprehensive).</w:t>
            </w:r>
          </w:p>
          <w:p w14:paraId="720B4B77" w14:textId="6F5375CF" w:rsidR="005E1308" w:rsidRPr="00976DDC"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The costing does not consider future changes to interest rates.</w:t>
            </w:r>
          </w:p>
        </w:tc>
      </w:tr>
      <w:tr w:rsidR="005E1308" w:rsidRPr="00976DDC" w14:paraId="2A45318D" w14:textId="77777777" w:rsidTr="64EA513A">
        <w:tc>
          <w:tcPr>
            <w:tcW w:w="5000" w:type="pct"/>
          </w:tcPr>
          <w:p w14:paraId="5CBBF435" w14:textId="77777777" w:rsidR="005E1308" w:rsidRPr="00976DDC" w:rsidRDefault="62D40865" w:rsidP="62D40865">
            <w:pPr>
              <w:pStyle w:val="Text"/>
              <w:spacing w:before="180" w:after="120"/>
              <w:rPr>
                <w:rFonts w:asciiTheme="minorHAnsi" w:hAnsiTheme="minorHAnsi"/>
                <w:b/>
                <w:bCs/>
                <w:sz w:val="22"/>
                <w:szCs w:val="22"/>
              </w:rPr>
            </w:pPr>
            <w:r w:rsidRPr="62D40865">
              <w:rPr>
                <w:rFonts w:asciiTheme="minorHAnsi" w:hAnsiTheme="minorHAnsi"/>
                <w:b/>
                <w:bCs/>
                <w:sz w:val="22"/>
                <w:szCs w:val="22"/>
              </w:rPr>
              <w:t>Where relevant, explain effects of departmental expenses.</w:t>
            </w:r>
          </w:p>
          <w:p w14:paraId="1E02080C" w14:textId="7C5380CC" w:rsidR="005E1308" w:rsidRDefault="005F4E95" w:rsidP="62D40865">
            <w:pPr>
              <w:pStyle w:val="Text"/>
              <w:spacing w:before="120" w:after="120"/>
              <w:rPr>
                <w:rFonts w:asciiTheme="minorHAnsi" w:hAnsiTheme="minorHAnsi"/>
                <w:sz w:val="22"/>
                <w:szCs w:val="22"/>
              </w:rPr>
            </w:pPr>
            <w:r>
              <w:rPr>
                <w:rFonts w:asciiTheme="minorHAnsi" w:hAnsiTheme="minorHAnsi"/>
                <w:sz w:val="22"/>
                <w:szCs w:val="22"/>
              </w:rPr>
              <w:t>E</w:t>
            </w:r>
            <w:r w:rsidR="62D40865" w:rsidRPr="62D40865">
              <w:rPr>
                <w:rFonts w:asciiTheme="minorHAnsi" w:hAnsiTheme="minorHAnsi"/>
                <w:sz w:val="22"/>
                <w:szCs w:val="22"/>
              </w:rPr>
              <w:t>xpenses for the RIC are:</w:t>
            </w:r>
          </w:p>
          <w:p w14:paraId="41BA572C" w14:textId="3F354BB9" w:rsidR="004B03FF"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2022-23: $0.7 million</w:t>
            </w:r>
            <w:r w:rsidR="00F12B82">
              <w:rPr>
                <w:rFonts w:asciiTheme="minorHAnsi" w:hAnsiTheme="minorHAnsi"/>
                <w:sz w:val="22"/>
                <w:szCs w:val="22"/>
              </w:rPr>
              <w:t>.</w:t>
            </w:r>
          </w:p>
          <w:p w14:paraId="4D97D75E" w14:textId="5091446B" w:rsidR="00656A22"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2023-24: $0.4 million</w:t>
            </w:r>
            <w:r w:rsidR="00F12B82">
              <w:rPr>
                <w:rFonts w:asciiTheme="minorHAnsi" w:hAnsiTheme="minorHAnsi"/>
                <w:sz w:val="22"/>
                <w:szCs w:val="22"/>
              </w:rPr>
              <w:t>.</w:t>
            </w:r>
          </w:p>
          <w:p w14:paraId="67710634" w14:textId="3C0FCA3D" w:rsidR="00656A22"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2024-25: $0.1 million</w:t>
            </w:r>
            <w:r w:rsidR="00F12B82">
              <w:rPr>
                <w:rFonts w:asciiTheme="minorHAnsi" w:hAnsiTheme="minorHAnsi"/>
                <w:sz w:val="22"/>
                <w:szCs w:val="22"/>
              </w:rPr>
              <w:t>.</w:t>
            </w:r>
          </w:p>
          <w:p w14:paraId="68C39B2E" w14:textId="6CC9A85A" w:rsidR="00656A22"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2025-26: $0.1 million</w:t>
            </w:r>
            <w:r w:rsidR="00F12B82">
              <w:rPr>
                <w:rFonts w:asciiTheme="minorHAnsi" w:hAnsiTheme="minorHAnsi"/>
                <w:sz w:val="22"/>
                <w:szCs w:val="22"/>
              </w:rPr>
              <w:t>.</w:t>
            </w:r>
          </w:p>
          <w:p w14:paraId="3194887F" w14:textId="2A81189B" w:rsidR="00F12B82" w:rsidRPr="00976DDC" w:rsidRDefault="62D40865" w:rsidP="00BE2C69">
            <w:pPr>
              <w:pStyle w:val="Text"/>
              <w:spacing w:before="120" w:after="120"/>
              <w:rPr>
                <w:rFonts w:asciiTheme="minorHAnsi" w:hAnsiTheme="minorHAnsi"/>
                <w:sz w:val="22"/>
                <w:szCs w:val="22"/>
              </w:rPr>
            </w:pPr>
            <w:r w:rsidRPr="62D40865">
              <w:rPr>
                <w:rFonts w:asciiTheme="minorHAnsi" w:hAnsiTheme="minorHAnsi"/>
                <w:sz w:val="22"/>
                <w:szCs w:val="22"/>
              </w:rPr>
              <w:t xml:space="preserve">There would be </w:t>
            </w:r>
            <w:r w:rsidR="00BE2C69">
              <w:rPr>
                <w:rFonts w:asciiTheme="minorHAnsi" w:hAnsiTheme="minorHAnsi"/>
                <w:sz w:val="22"/>
                <w:szCs w:val="22"/>
              </w:rPr>
              <w:t>departmental expenses</w:t>
            </w:r>
            <w:r w:rsidR="00BE2C69" w:rsidRPr="62D40865">
              <w:rPr>
                <w:rFonts w:asciiTheme="minorHAnsi" w:hAnsiTheme="minorHAnsi"/>
                <w:sz w:val="22"/>
                <w:szCs w:val="22"/>
              </w:rPr>
              <w:t xml:space="preserve"> </w:t>
            </w:r>
            <w:r w:rsidRPr="62D40865">
              <w:rPr>
                <w:rFonts w:asciiTheme="minorHAnsi" w:hAnsiTheme="minorHAnsi"/>
                <w:sz w:val="22"/>
                <w:szCs w:val="22"/>
              </w:rPr>
              <w:t>of $0.2 million per annum, subject to indexation and the efficiency dividend, from 2026-27 to 2038-39.</w:t>
            </w:r>
          </w:p>
        </w:tc>
      </w:tr>
      <w:tr w:rsidR="005E1308" w:rsidRPr="00976DDC" w14:paraId="4932DB62" w14:textId="77777777" w:rsidTr="64EA513A">
        <w:tc>
          <w:tcPr>
            <w:tcW w:w="5000" w:type="pct"/>
          </w:tcPr>
          <w:p w14:paraId="3B8AB7A7" w14:textId="77777777" w:rsidR="005E1308" w:rsidRPr="00976DDC" w:rsidRDefault="62D40865" w:rsidP="62D40865">
            <w:pPr>
              <w:pStyle w:val="Text"/>
              <w:spacing w:before="180" w:after="120"/>
              <w:rPr>
                <w:rFonts w:asciiTheme="minorHAnsi" w:hAnsiTheme="minorHAnsi"/>
                <w:b/>
                <w:bCs/>
                <w:sz w:val="22"/>
                <w:szCs w:val="22"/>
              </w:rPr>
            </w:pPr>
            <w:r w:rsidRPr="62D40865">
              <w:rPr>
                <w:rFonts w:asciiTheme="minorHAnsi" w:hAnsiTheme="minorHAnsi"/>
                <w:b/>
                <w:bCs/>
                <w:sz w:val="22"/>
                <w:szCs w:val="22"/>
              </w:rPr>
              <w:t>Where relevant, explain the reason for any significant differences between the assumptions specified in a party costing request and those used in a Treasury or Finance costing.</w:t>
            </w:r>
          </w:p>
          <w:p w14:paraId="7806F4D1" w14:textId="7B2A1734" w:rsidR="005E1308" w:rsidRDefault="62D40865" w:rsidP="00F12B82">
            <w:pPr>
              <w:pStyle w:val="Text"/>
              <w:spacing w:before="120" w:after="120"/>
              <w:rPr>
                <w:rFonts w:asciiTheme="minorHAnsi" w:hAnsiTheme="minorHAnsi"/>
                <w:sz w:val="22"/>
                <w:szCs w:val="22"/>
              </w:rPr>
            </w:pPr>
            <w:r w:rsidRPr="62D40865">
              <w:rPr>
                <w:rFonts w:asciiTheme="minorHAnsi" w:hAnsiTheme="minorHAnsi"/>
                <w:sz w:val="22"/>
                <w:szCs w:val="22"/>
              </w:rPr>
              <w:t>The costing</w:t>
            </w:r>
            <w:r w:rsidR="00F12B82">
              <w:rPr>
                <w:rFonts w:asciiTheme="minorHAnsi" w:hAnsiTheme="minorHAnsi"/>
                <w:sz w:val="22"/>
                <w:szCs w:val="22"/>
              </w:rPr>
              <w:t xml:space="preserve"> request</w:t>
            </w:r>
            <w:r w:rsidRPr="62D40865">
              <w:rPr>
                <w:rFonts w:asciiTheme="minorHAnsi" w:hAnsiTheme="minorHAnsi"/>
                <w:sz w:val="22"/>
                <w:szCs w:val="22"/>
              </w:rPr>
              <w:t xml:space="preserve"> did not consider the financial impacts of no longer issuing $75</w:t>
            </w:r>
            <w:r w:rsidR="007C0139">
              <w:rPr>
                <w:rFonts w:asciiTheme="minorHAnsi" w:hAnsiTheme="minorHAnsi"/>
                <w:sz w:val="22"/>
                <w:szCs w:val="22"/>
              </w:rPr>
              <w:t>.0</w:t>
            </w:r>
            <w:r w:rsidRPr="62D40865">
              <w:rPr>
                <w:rFonts w:asciiTheme="minorHAnsi" w:hAnsiTheme="minorHAnsi"/>
                <w:sz w:val="22"/>
                <w:szCs w:val="22"/>
              </w:rPr>
              <w:t xml:space="preserve"> million of loans through the RIC.</w:t>
            </w:r>
          </w:p>
          <w:p w14:paraId="5AE88283" w14:textId="77777777" w:rsidR="00C91CA3" w:rsidRDefault="00C91CA3" w:rsidP="00F12B82">
            <w:pPr>
              <w:pStyle w:val="Text"/>
              <w:spacing w:before="120" w:after="120"/>
              <w:rPr>
                <w:rFonts w:asciiTheme="minorHAnsi" w:hAnsiTheme="minorHAnsi"/>
                <w:sz w:val="22"/>
                <w:szCs w:val="22"/>
              </w:rPr>
            </w:pPr>
          </w:p>
          <w:p w14:paraId="511ECEF9" w14:textId="77777777" w:rsidR="00C91CA3" w:rsidRDefault="00C91CA3" w:rsidP="00F12B82">
            <w:pPr>
              <w:pStyle w:val="Text"/>
              <w:spacing w:before="120" w:after="120"/>
              <w:rPr>
                <w:rFonts w:asciiTheme="minorHAnsi" w:hAnsiTheme="minorHAnsi"/>
                <w:sz w:val="22"/>
                <w:szCs w:val="22"/>
              </w:rPr>
            </w:pPr>
          </w:p>
          <w:p w14:paraId="631CD0D6" w14:textId="77777777" w:rsidR="00C91CA3" w:rsidRDefault="00C91CA3" w:rsidP="00F12B82">
            <w:pPr>
              <w:pStyle w:val="Text"/>
              <w:spacing w:before="120" w:after="120"/>
              <w:rPr>
                <w:rFonts w:asciiTheme="minorHAnsi" w:hAnsiTheme="minorHAnsi"/>
                <w:sz w:val="22"/>
                <w:szCs w:val="22"/>
              </w:rPr>
            </w:pPr>
          </w:p>
          <w:p w14:paraId="53B45BCE" w14:textId="7839F945" w:rsidR="00C91CA3" w:rsidRPr="00976DDC" w:rsidRDefault="00C91CA3" w:rsidP="00F12B82">
            <w:pPr>
              <w:pStyle w:val="Text"/>
              <w:spacing w:before="120" w:after="120"/>
              <w:rPr>
                <w:rFonts w:asciiTheme="minorHAnsi" w:hAnsiTheme="minorHAnsi"/>
                <w:sz w:val="22"/>
                <w:szCs w:val="22"/>
              </w:rPr>
            </w:pPr>
          </w:p>
        </w:tc>
      </w:tr>
      <w:tr w:rsidR="005E1308" w:rsidRPr="00976DDC" w14:paraId="0D7E01A9" w14:textId="77777777" w:rsidTr="64EA513A">
        <w:tc>
          <w:tcPr>
            <w:tcW w:w="5000" w:type="pct"/>
          </w:tcPr>
          <w:p w14:paraId="3F170782" w14:textId="77777777" w:rsidR="002215AB" w:rsidRPr="00976DDC" w:rsidRDefault="62D40865" w:rsidP="00C72EBF">
            <w:pPr>
              <w:spacing w:before="120" w:after="0" w:line="240" w:lineRule="auto"/>
              <w:rPr>
                <w:rFonts w:asciiTheme="minorHAnsi" w:hAnsiTheme="minorHAnsi" w:cstheme="minorBidi"/>
                <w:sz w:val="22"/>
                <w:szCs w:val="22"/>
              </w:rPr>
            </w:pPr>
            <w:r w:rsidRPr="62D40865">
              <w:rPr>
                <w:rStyle w:val="TextChar"/>
                <w:rFonts w:asciiTheme="minorHAnsi" w:hAnsiTheme="minorHAnsi"/>
                <w:b/>
                <w:bCs/>
                <w:sz w:val="22"/>
                <w:szCs w:val="22"/>
              </w:rPr>
              <w:lastRenderedPageBreak/>
              <w:t>Other comments</w:t>
            </w:r>
            <w:r w:rsidRPr="62D40865">
              <w:rPr>
                <w:rFonts w:asciiTheme="minorHAnsi" w:hAnsiTheme="minorHAnsi" w:cstheme="minorBidi"/>
                <w:b/>
                <w:bCs/>
                <w:sz w:val="22"/>
                <w:szCs w:val="22"/>
              </w:rPr>
              <w:t xml:space="preserve"> </w:t>
            </w:r>
            <w:r w:rsidRPr="62D40865">
              <w:rPr>
                <w:rStyle w:val="TextItalicisedChar"/>
                <w:rFonts w:asciiTheme="minorHAnsi" w:hAnsiTheme="minorHAnsi"/>
                <w:b/>
                <w:bCs/>
                <w:sz w:val="22"/>
                <w:szCs w:val="22"/>
              </w:rPr>
              <w:t>(including reasons for significant differences between the estimated impact on the fiscal and underlying cash balances).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6"/>
            </w:tblGrid>
            <w:tr w:rsidR="002215AB" w:rsidRPr="00976DDC" w14:paraId="247D300F" w14:textId="77777777" w:rsidTr="64EA513A">
              <w:tc>
                <w:tcPr>
                  <w:tcW w:w="5000" w:type="pct"/>
                </w:tcPr>
                <w:p w14:paraId="7187D5F3" w14:textId="77777777" w:rsidR="002215AB" w:rsidRPr="009B10F2" w:rsidRDefault="62D40865" w:rsidP="62D40865">
                  <w:pPr>
                    <w:pStyle w:val="Text"/>
                    <w:spacing w:before="120" w:after="120"/>
                    <w:rPr>
                      <w:rFonts w:asciiTheme="minorHAnsi" w:hAnsiTheme="minorHAnsi"/>
                      <w:b/>
                      <w:bCs/>
                      <w:sz w:val="22"/>
                      <w:szCs w:val="22"/>
                    </w:rPr>
                  </w:pPr>
                  <w:r w:rsidRPr="62D40865">
                    <w:rPr>
                      <w:rFonts w:asciiTheme="minorHAnsi" w:hAnsiTheme="minorHAnsi"/>
                      <w:b/>
                      <w:bCs/>
                      <w:sz w:val="22"/>
                      <w:szCs w:val="22"/>
                    </w:rPr>
                    <w:t>Where relevant, include an explanation of the medium-term implications of the proposal.</w:t>
                  </w:r>
                  <w:r w:rsidRPr="62D40865">
                    <w:rPr>
                      <w:rFonts w:asciiTheme="minorHAnsi" w:hAnsiTheme="minorHAnsi"/>
                      <w:b/>
                      <w:bCs/>
                      <w:sz w:val="22"/>
                      <w:szCs w:val="22"/>
                      <w:vertAlign w:val="superscript"/>
                    </w:rPr>
                    <w:t>(c)</w:t>
                  </w:r>
                  <w:r w:rsidRPr="62D40865">
                    <w:rPr>
                      <w:rFonts w:asciiTheme="minorHAnsi" w:hAnsiTheme="minorHAnsi"/>
                      <w:b/>
                      <w:bCs/>
                      <w:sz w:val="22"/>
                      <w:szCs w:val="22"/>
                    </w:rPr>
                    <w:t xml:space="preserve"> </w:t>
                  </w:r>
                </w:p>
                <w:p w14:paraId="77ED108A" w14:textId="54C682DB" w:rsidR="000868D3"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The differences between the fiscal balance and underlying cash balance reflect two factors:</w:t>
                  </w:r>
                </w:p>
                <w:p w14:paraId="19F52C43" w14:textId="3E2A03CF" w:rsidR="00674C3B" w:rsidRDefault="62D40865" w:rsidP="00C72EBF">
                  <w:pPr>
                    <w:pStyle w:val="Text"/>
                    <w:numPr>
                      <w:ilvl w:val="0"/>
                      <w:numId w:val="43"/>
                    </w:numPr>
                    <w:spacing w:before="120" w:after="120"/>
                    <w:ind w:left="487" w:hanging="425"/>
                    <w:rPr>
                      <w:rFonts w:asciiTheme="minorHAnsi" w:hAnsiTheme="minorHAnsi"/>
                      <w:sz w:val="22"/>
                      <w:szCs w:val="22"/>
                    </w:rPr>
                  </w:pPr>
                  <w:r w:rsidRPr="62D40865">
                    <w:rPr>
                      <w:rFonts w:asciiTheme="minorHAnsi" w:hAnsiTheme="minorHAnsi"/>
                      <w:sz w:val="22"/>
                      <w:szCs w:val="22"/>
                    </w:rPr>
                    <w:t xml:space="preserve">The fiscal balance impact of the loan guarantees, </w:t>
                  </w:r>
                  <w:r w:rsidR="00796086">
                    <w:rPr>
                      <w:rFonts w:asciiTheme="minorHAnsi" w:hAnsiTheme="minorHAnsi"/>
                      <w:sz w:val="22"/>
                      <w:szCs w:val="22"/>
                    </w:rPr>
                    <w:t xml:space="preserve">which are </w:t>
                  </w:r>
                  <w:r w:rsidRPr="62D40865">
                    <w:rPr>
                      <w:rFonts w:asciiTheme="minorHAnsi" w:hAnsiTheme="minorHAnsi"/>
                      <w:sz w:val="22"/>
                      <w:szCs w:val="22"/>
                    </w:rPr>
                    <w:t>the anticipated losses, are recognised upfront upon issuing the guarantees. The underlying cash balance is reflected when the payments are expected to be made over the guarantee period; and</w:t>
                  </w:r>
                </w:p>
                <w:p w14:paraId="1241CDF9" w14:textId="58AB827B" w:rsidR="000868D3" w:rsidRDefault="62D40865" w:rsidP="00C72EBF">
                  <w:pPr>
                    <w:pStyle w:val="Text"/>
                    <w:numPr>
                      <w:ilvl w:val="0"/>
                      <w:numId w:val="43"/>
                    </w:numPr>
                    <w:spacing w:before="120" w:after="120"/>
                    <w:ind w:left="487" w:hanging="425"/>
                    <w:rPr>
                      <w:rFonts w:asciiTheme="minorHAnsi" w:hAnsiTheme="minorHAnsi"/>
                      <w:sz w:val="22"/>
                      <w:szCs w:val="22"/>
                    </w:rPr>
                  </w:pPr>
                  <w:r w:rsidRPr="62D40865">
                    <w:rPr>
                      <w:rFonts w:asciiTheme="minorHAnsi" w:hAnsiTheme="minorHAnsi"/>
                      <w:sz w:val="22"/>
                      <w:szCs w:val="22"/>
                    </w:rPr>
                    <w:t xml:space="preserve">The reduction in concessional loans has an upfront positive impact from the concessional loan discount expense no longer incurred, with a negative impact in future years as the unwind concessional revenue is then no longer accrued. </w:t>
                  </w:r>
                </w:p>
                <w:p w14:paraId="7C760B67" w14:textId="1AA69096" w:rsidR="00656A22"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 xml:space="preserve">The medium term implications are provided in the table below reflecting the interest and PDI impacts of the loans that would have been outstanding, the payment of guarantees and the costs of the RIC to administer the scheme. </w:t>
                  </w:r>
                </w:p>
                <w:tbl>
                  <w:tblPr>
                    <w:tblStyle w:val="TableGrid"/>
                    <w:tblW w:w="4969"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363"/>
                    <w:gridCol w:w="936"/>
                    <w:gridCol w:w="935"/>
                    <w:gridCol w:w="935"/>
                    <w:gridCol w:w="935"/>
                    <w:gridCol w:w="935"/>
                    <w:gridCol w:w="935"/>
                    <w:gridCol w:w="934"/>
                  </w:tblGrid>
                  <w:tr w:rsidR="00BC7F97" w:rsidRPr="00916340" w14:paraId="08E02C54" w14:textId="3EF662D5" w:rsidTr="64EA513A">
                    <w:trPr>
                      <w:trHeight w:val="188"/>
                    </w:trPr>
                    <w:tc>
                      <w:tcPr>
                        <w:tcW w:w="1326" w:type="pct"/>
                        <w:shd w:val="clear" w:color="auto" w:fill="auto"/>
                      </w:tcPr>
                      <w:p w14:paraId="100CBA29" w14:textId="77777777" w:rsidR="00BC7F97" w:rsidRPr="00916340" w:rsidRDefault="62D40865" w:rsidP="62D40865">
                        <w:pPr>
                          <w:pStyle w:val="Table-RowHeadings"/>
                          <w:rPr>
                            <w:rFonts w:asciiTheme="minorHAnsi" w:hAnsiTheme="minorHAnsi"/>
                          </w:rPr>
                        </w:pPr>
                        <w:r w:rsidRPr="62D40865">
                          <w:rPr>
                            <w:rFonts w:asciiTheme="minorHAnsi" w:hAnsiTheme="minorHAnsi"/>
                          </w:rPr>
                          <w:t>Impact on</w:t>
                        </w:r>
                      </w:p>
                    </w:tc>
                    <w:tc>
                      <w:tcPr>
                        <w:tcW w:w="525" w:type="pct"/>
                        <w:shd w:val="clear" w:color="auto" w:fill="auto"/>
                      </w:tcPr>
                      <w:p w14:paraId="534E814C" w14:textId="3B1C462B" w:rsidR="00BC7F97" w:rsidRPr="00916340" w:rsidRDefault="64EA513A" w:rsidP="64EA513A">
                        <w:pPr>
                          <w:pStyle w:val="Table-YearlyColumnHeadings"/>
                          <w:rPr>
                            <w:rFonts w:asciiTheme="minorHAnsi" w:hAnsiTheme="minorHAnsi"/>
                          </w:rPr>
                        </w:pPr>
                        <w:r w:rsidRPr="64EA513A">
                          <w:rPr>
                            <w:rFonts w:asciiTheme="minorHAnsi" w:hAnsiTheme="minorHAnsi"/>
                          </w:rPr>
                          <w:t>2026-27</w:t>
                        </w:r>
                      </w:p>
                    </w:tc>
                    <w:tc>
                      <w:tcPr>
                        <w:tcW w:w="525" w:type="pct"/>
                        <w:shd w:val="clear" w:color="auto" w:fill="auto"/>
                      </w:tcPr>
                      <w:p w14:paraId="05C3289D" w14:textId="77B6B28E" w:rsidR="00BC7F97" w:rsidRPr="00916340" w:rsidRDefault="64EA513A" w:rsidP="64EA513A">
                        <w:pPr>
                          <w:pStyle w:val="Table-YearlyColumnHeadings"/>
                          <w:rPr>
                            <w:rFonts w:asciiTheme="minorHAnsi" w:hAnsiTheme="minorHAnsi"/>
                          </w:rPr>
                        </w:pPr>
                        <w:r w:rsidRPr="64EA513A">
                          <w:rPr>
                            <w:rFonts w:asciiTheme="minorHAnsi" w:hAnsiTheme="minorHAnsi"/>
                          </w:rPr>
                          <w:t>2027-28</w:t>
                        </w:r>
                      </w:p>
                    </w:tc>
                    <w:tc>
                      <w:tcPr>
                        <w:tcW w:w="525" w:type="pct"/>
                        <w:shd w:val="clear" w:color="auto" w:fill="auto"/>
                      </w:tcPr>
                      <w:p w14:paraId="2AF9C702" w14:textId="6022D78F" w:rsidR="00BC7F97" w:rsidRPr="00916340" w:rsidRDefault="64EA513A" w:rsidP="64EA513A">
                        <w:pPr>
                          <w:pStyle w:val="Table-YearlyColumnHeadings"/>
                          <w:rPr>
                            <w:rFonts w:asciiTheme="minorHAnsi" w:hAnsiTheme="minorHAnsi"/>
                          </w:rPr>
                        </w:pPr>
                        <w:r w:rsidRPr="64EA513A">
                          <w:rPr>
                            <w:rFonts w:asciiTheme="minorHAnsi" w:hAnsiTheme="minorHAnsi"/>
                          </w:rPr>
                          <w:t>2028-29</w:t>
                        </w:r>
                      </w:p>
                    </w:tc>
                    <w:tc>
                      <w:tcPr>
                        <w:tcW w:w="525" w:type="pct"/>
                        <w:shd w:val="clear" w:color="auto" w:fill="auto"/>
                      </w:tcPr>
                      <w:p w14:paraId="4B546580" w14:textId="5C7C69A4" w:rsidR="00BC7F97" w:rsidRPr="00916340" w:rsidRDefault="64EA513A" w:rsidP="64EA513A">
                        <w:pPr>
                          <w:pStyle w:val="Table-YearlyColumnHeadings"/>
                          <w:rPr>
                            <w:rFonts w:asciiTheme="minorHAnsi" w:hAnsiTheme="minorHAnsi"/>
                          </w:rPr>
                        </w:pPr>
                        <w:r w:rsidRPr="64EA513A">
                          <w:rPr>
                            <w:rFonts w:asciiTheme="minorHAnsi" w:hAnsiTheme="minorHAnsi"/>
                          </w:rPr>
                          <w:t>2029-30</w:t>
                        </w:r>
                      </w:p>
                    </w:tc>
                    <w:tc>
                      <w:tcPr>
                        <w:tcW w:w="525" w:type="pct"/>
                        <w:shd w:val="clear" w:color="auto" w:fill="auto"/>
                      </w:tcPr>
                      <w:p w14:paraId="7FC6CE2A" w14:textId="7C6F4A31" w:rsidR="00BC7F97" w:rsidRPr="00916340" w:rsidRDefault="64EA513A" w:rsidP="64EA513A">
                        <w:pPr>
                          <w:pStyle w:val="Table-YearlyColumnHeadings"/>
                          <w:rPr>
                            <w:rFonts w:asciiTheme="minorHAnsi" w:hAnsiTheme="minorHAnsi"/>
                          </w:rPr>
                        </w:pPr>
                        <w:r w:rsidRPr="64EA513A">
                          <w:rPr>
                            <w:rFonts w:asciiTheme="minorHAnsi" w:hAnsiTheme="minorHAnsi"/>
                          </w:rPr>
                          <w:t>2030-31</w:t>
                        </w:r>
                      </w:p>
                    </w:tc>
                    <w:tc>
                      <w:tcPr>
                        <w:tcW w:w="525" w:type="pct"/>
                        <w:shd w:val="clear" w:color="auto" w:fill="auto"/>
                      </w:tcPr>
                      <w:p w14:paraId="1776232C" w14:textId="08224BC3" w:rsidR="00BC7F97" w:rsidRPr="00916340" w:rsidRDefault="64EA513A" w:rsidP="64EA513A">
                        <w:pPr>
                          <w:pStyle w:val="Table-YearlyColumnHeadings"/>
                          <w:rPr>
                            <w:rFonts w:asciiTheme="minorHAnsi" w:hAnsiTheme="minorHAnsi"/>
                          </w:rPr>
                        </w:pPr>
                        <w:r w:rsidRPr="64EA513A">
                          <w:rPr>
                            <w:rFonts w:asciiTheme="minorHAnsi" w:hAnsiTheme="minorHAnsi"/>
                          </w:rPr>
                          <w:t>2031-32</w:t>
                        </w:r>
                      </w:p>
                    </w:tc>
                    <w:tc>
                      <w:tcPr>
                        <w:tcW w:w="524" w:type="pct"/>
                        <w:shd w:val="clear" w:color="auto" w:fill="auto"/>
                      </w:tcPr>
                      <w:p w14:paraId="0D3A6C09" w14:textId="45CBAFFF" w:rsidR="00BC7F97" w:rsidRPr="00916340" w:rsidRDefault="64EA513A" w:rsidP="64EA513A">
                        <w:pPr>
                          <w:pStyle w:val="Table-YearlyColumnHeadings"/>
                          <w:rPr>
                            <w:rFonts w:asciiTheme="minorHAnsi" w:hAnsiTheme="minorHAnsi"/>
                          </w:rPr>
                        </w:pPr>
                        <w:r w:rsidRPr="64EA513A">
                          <w:rPr>
                            <w:rFonts w:asciiTheme="minorHAnsi" w:hAnsiTheme="minorHAnsi"/>
                          </w:rPr>
                          <w:t>2032-33</w:t>
                        </w:r>
                      </w:p>
                    </w:tc>
                  </w:tr>
                  <w:tr w:rsidR="00BC7F97" w:rsidRPr="00916340" w14:paraId="02C13617" w14:textId="154F42E7" w:rsidTr="64EA513A">
                    <w:trPr>
                      <w:trHeight w:val="388"/>
                    </w:trPr>
                    <w:tc>
                      <w:tcPr>
                        <w:tcW w:w="1326" w:type="pct"/>
                      </w:tcPr>
                      <w:p w14:paraId="1B114ACA" w14:textId="77777777" w:rsidR="00BC7F97" w:rsidRPr="00916340" w:rsidRDefault="62D40865" w:rsidP="62D40865">
                        <w:pPr>
                          <w:pStyle w:val="Table-RowHeadings"/>
                          <w:rPr>
                            <w:rFonts w:asciiTheme="minorHAnsi" w:hAnsiTheme="minorHAnsi"/>
                          </w:rPr>
                        </w:pPr>
                        <w:r w:rsidRPr="62D40865">
                          <w:rPr>
                            <w:rFonts w:asciiTheme="minorHAnsi" w:hAnsiTheme="minorHAnsi"/>
                          </w:rPr>
                          <w:t>Underlying Cash Balance (UCB) ($m)</w:t>
                        </w:r>
                      </w:p>
                    </w:tc>
                    <w:tc>
                      <w:tcPr>
                        <w:tcW w:w="525" w:type="pct"/>
                      </w:tcPr>
                      <w:p w14:paraId="016EEAAC" w14:textId="26E42296" w:rsidR="00BC7F97"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-0.5</w:t>
                        </w:r>
                      </w:p>
                    </w:tc>
                    <w:tc>
                      <w:tcPr>
                        <w:tcW w:w="525" w:type="pct"/>
                      </w:tcPr>
                      <w:p w14:paraId="172D804F" w14:textId="2BC85C61" w:rsidR="00BC7F97"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-0.6</w:t>
                        </w:r>
                      </w:p>
                    </w:tc>
                    <w:tc>
                      <w:tcPr>
                        <w:tcW w:w="525" w:type="pct"/>
                      </w:tcPr>
                      <w:p w14:paraId="47A0168A" w14:textId="0371FA0A" w:rsidR="00BC7F97"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-0.6</w:t>
                        </w:r>
                      </w:p>
                    </w:tc>
                    <w:tc>
                      <w:tcPr>
                        <w:tcW w:w="525" w:type="pct"/>
                      </w:tcPr>
                      <w:p w14:paraId="638D882E" w14:textId="66BD77AF" w:rsidR="00BC7F97"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-0.6</w:t>
                        </w:r>
                      </w:p>
                    </w:tc>
                    <w:tc>
                      <w:tcPr>
                        <w:tcW w:w="525" w:type="pct"/>
                      </w:tcPr>
                      <w:p w14:paraId="47AE3F5A" w14:textId="5C0F6AD1" w:rsidR="00BC7F97"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-0.5</w:t>
                        </w:r>
                      </w:p>
                    </w:tc>
                    <w:tc>
                      <w:tcPr>
                        <w:tcW w:w="525" w:type="pct"/>
                      </w:tcPr>
                      <w:p w14:paraId="110BC153" w14:textId="39874CE7" w:rsidR="00BC7F97" w:rsidRDefault="64EA513A" w:rsidP="64EA513A">
                        <w:pPr>
                          <w:pStyle w:val="Tablefigures"/>
                          <w:rPr>
                            <w:rFonts w:asciiTheme="minorHAnsi" w:hAnsiTheme="minorHAnsi"/>
                            <w:sz w:val="20"/>
                            <w:szCs w:val="20"/>
                          </w:rPr>
                        </w:pPr>
                        <w:r w:rsidRPr="64EA513A">
                          <w:rPr>
                            <w:rFonts w:asciiTheme="minorHAnsi" w:hAnsiTheme="minorHAnsi"/>
                            <w:sz w:val="20"/>
                            <w:szCs w:val="20"/>
                          </w:rPr>
                          <w:t>-0.5</w:t>
                        </w:r>
                      </w:p>
                    </w:tc>
                    <w:tc>
                      <w:tcPr>
                        <w:tcW w:w="524" w:type="pct"/>
                      </w:tcPr>
                      <w:p w14:paraId="1CC66326" w14:textId="7813162D" w:rsidR="00BC7F97" w:rsidRDefault="64EA513A" w:rsidP="64EA513A">
                        <w:pPr>
                          <w:pStyle w:val="Tablefigures"/>
                          <w:rPr>
                            <w:rFonts w:asciiTheme="minorHAnsi" w:hAnsiTheme="minorHAnsi"/>
                            <w:sz w:val="20"/>
                            <w:szCs w:val="20"/>
                          </w:rPr>
                        </w:pPr>
                        <w:r w:rsidRPr="64EA513A">
                          <w:rPr>
                            <w:rFonts w:asciiTheme="minorHAnsi" w:hAnsiTheme="minorHAnsi"/>
                            <w:sz w:val="20"/>
                            <w:szCs w:val="20"/>
                          </w:rPr>
                          <w:t>-0.6</w:t>
                        </w:r>
                      </w:p>
                    </w:tc>
                  </w:tr>
                  <w:tr w:rsidR="00BC7F97" w:rsidRPr="00916340" w14:paraId="42513467" w14:textId="01D66A5F" w:rsidTr="64EA513A">
                    <w:trPr>
                      <w:trHeight w:val="188"/>
                    </w:trPr>
                    <w:tc>
                      <w:tcPr>
                        <w:tcW w:w="1326" w:type="pct"/>
                      </w:tcPr>
                      <w:p w14:paraId="7094D778" w14:textId="766755F0" w:rsidR="00BC7F97" w:rsidRPr="00916340" w:rsidRDefault="62D40865" w:rsidP="62D40865">
                        <w:pPr>
                          <w:pStyle w:val="Table-RowHeadings"/>
                          <w:rPr>
                            <w:rFonts w:asciiTheme="minorHAnsi" w:hAnsiTheme="minorHAnsi"/>
                          </w:rPr>
                        </w:pPr>
                        <w:r w:rsidRPr="62D40865">
                          <w:rPr>
                            <w:rFonts w:asciiTheme="minorHAnsi" w:hAnsiTheme="minorHAnsi"/>
                          </w:rPr>
                          <w:t>Fiscal Balance ($m)</w:t>
                        </w:r>
                      </w:p>
                    </w:tc>
                    <w:tc>
                      <w:tcPr>
                        <w:tcW w:w="525" w:type="pct"/>
                      </w:tcPr>
                      <w:p w14:paraId="191B10F4" w14:textId="788122BB" w:rsidR="00BC7F97"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-1.5</w:t>
                        </w:r>
                      </w:p>
                    </w:tc>
                    <w:tc>
                      <w:tcPr>
                        <w:tcW w:w="525" w:type="pct"/>
                      </w:tcPr>
                      <w:p w14:paraId="3E662BF2" w14:textId="39993D38" w:rsidR="00BC7F97"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-1.6</w:t>
                        </w:r>
                      </w:p>
                    </w:tc>
                    <w:tc>
                      <w:tcPr>
                        <w:tcW w:w="525" w:type="pct"/>
                      </w:tcPr>
                      <w:p w14:paraId="70B0AB71" w14:textId="44B149C6" w:rsidR="00BC7F97"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-1.6</w:t>
                        </w:r>
                      </w:p>
                    </w:tc>
                    <w:tc>
                      <w:tcPr>
                        <w:tcW w:w="525" w:type="pct"/>
                      </w:tcPr>
                      <w:p w14:paraId="44AE07A9" w14:textId="40C35BA9" w:rsidR="00BC7F97"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-1.5</w:t>
                        </w:r>
                      </w:p>
                    </w:tc>
                    <w:tc>
                      <w:tcPr>
                        <w:tcW w:w="525" w:type="pct"/>
                      </w:tcPr>
                      <w:p w14:paraId="6368B0BD" w14:textId="3D7CDFD3" w:rsidR="00BC7F97" w:rsidRPr="00916340" w:rsidRDefault="64EA513A" w:rsidP="64EA513A">
                        <w:pPr>
                          <w:pStyle w:val="Tablefigures"/>
                          <w:rPr>
                            <w:rFonts w:asciiTheme="minorHAnsi" w:hAnsiTheme="minorHAnsi"/>
                            <w:sz w:val="20"/>
                            <w:szCs w:val="20"/>
                          </w:rPr>
                        </w:pPr>
                        <w:r w:rsidRPr="64EA513A">
                          <w:rPr>
                            <w:rFonts w:asciiTheme="minorHAnsi" w:hAnsiTheme="minorHAnsi"/>
                            <w:sz w:val="20"/>
                            <w:szCs w:val="20"/>
                          </w:rPr>
                          <w:t>-1.3</w:t>
                        </w:r>
                      </w:p>
                    </w:tc>
                    <w:tc>
                      <w:tcPr>
                        <w:tcW w:w="525" w:type="pct"/>
                      </w:tcPr>
                      <w:p w14:paraId="3D6C8F72" w14:textId="21414E88" w:rsidR="00BC7F97" w:rsidRDefault="64EA513A" w:rsidP="64EA513A">
                        <w:pPr>
                          <w:pStyle w:val="Tablefigures"/>
                          <w:rPr>
                            <w:rFonts w:asciiTheme="minorHAnsi" w:hAnsiTheme="minorHAnsi"/>
                            <w:sz w:val="20"/>
                            <w:szCs w:val="20"/>
                          </w:rPr>
                        </w:pPr>
                        <w:r w:rsidRPr="64EA513A">
                          <w:rPr>
                            <w:rFonts w:asciiTheme="minorHAnsi" w:hAnsiTheme="minorHAnsi"/>
                            <w:sz w:val="20"/>
                            <w:szCs w:val="20"/>
                          </w:rPr>
                          <w:t>-1.1</w:t>
                        </w:r>
                      </w:p>
                    </w:tc>
                    <w:tc>
                      <w:tcPr>
                        <w:tcW w:w="524" w:type="pct"/>
                      </w:tcPr>
                      <w:p w14:paraId="19BB6F84" w14:textId="25C21948" w:rsidR="00BC7F97" w:rsidRDefault="64EA513A" w:rsidP="64EA513A">
                        <w:pPr>
                          <w:pStyle w:val="Tablefigures"/>
                          <w:rPr>
                            <w:rFonts w:asciiTheme="minorHAnsi" w:hAnsiTheme="minorHAnsi"/>
                            <w:sz w:val="20"/>
                            <w:szCs w:val="20"/>
                          </w:rPr>
                        </w:pPr>
                        <w:r w:rsidRPr="64EA513A">
                          <w:rPr>
                            <w:rFonts w:asciiTheme="minorHAnsi" w:hAnsiTheme="minorHAnsi"/>
                            <w:sz w:val="20"/>
                            <w:szCs w:val="20"/>
                          </w:rPr>
                          <w:t>-1.1</w:t>
                        </w:r>
                      </w:p>
                    </w:tc>
                  </w:tr>
                </w:tbl>
                <w:p w14:paraId="0327AF50" w14:textId="4ED5EAED" w:rsidR="00BC7F97" w:rsidRPr="009B10F2" w:rsidRDefault="62D40865" w:rsidP="62D40865">
                  <w:pPr>
                    <w:pStyle w:val="Text"/>
                    <w:spacing w:before="120" w:after="120"/>
                    <w:rPr>
                      <w:rFonts w:asciiTheme="minorHAnsi" w:hAnsiTheme="minorHAnsi"/>
                      <w:sz w:val="22"/>
                      <w:szCs w:val="22"/>
                    </w:rPr>
                  </w:pPr>
                  <w:r w:rsidRPr="62D40865">
                    <w:rPr>
                      <w:rFonts w:asciiTheme="minorHAnsi" w:hAnsiTheme="minorHAnsi"/>
                      <w:sz w:val="22"/>
                      <w:szCs w:val="22"/>
                    </w:rPr>
                    <w:t>There are further, smaller, negative impacts continuing until 30 June 2039.</w:t>
                  </w:r>
                </w:p>
              </w:tc>
            </w:tr>
          </w:tbl>
          <w:p w14:paraId="71A9786E" w14:textId="77777777" w:rsidR="005E1308" w:rsidRPr="00976DDC" w:rsidRDefault="005E1308" w:rsidP="00976DDC">
            <w:pPr>
              <w:pStyle w:val="Text"/>
              <w:spacing w:before="120" w:after="120"/>
              <w:rPr>
                <w:rFonts w:asciiTheme="minorHAnsi" w:hAnsiTheme="minorHAnsi" w:cstheme="minorHAnsi"/>
                <w:sz w:val="22"/>
                <w:szCs w:val="22"/>
              </w:rPr>
            </w:pPr>
          </w:p>
        </w:tc>
      </w:tr>
    </w:tbl>
    <w:p w14:paraId="7A1B38DA" w14:textId="0FC9BEB5" w:rsidR="003776ED" w:rsidRPr="00C72EBF" w:rsidRDefault="62D40865" w:rsidP="62D40865">
      <w:pPr>
        <w:pStyle w:val="ChartandTableFootnoteAlpha"/>
        <w:numPr>
          <w:ilvl w:val="0"/>
          <w:numId w:val="0"/>
        </w:numPr>
        <w:jc w:val="left"/>
        <w:rPr>
          <w:rFonts w:asciiTheme="minorHAnsi" w:hAnsiTheme="minorHAnsi" w:cstheme="minorBidi"/>
          <w:sz w:val="12"/>
          <w:szCs w:val="18"/>
        </w:rPr>
      </w:pPr>
      <w:r w:rsidRPr="62D40865">
        <w:rPr>
          <w:rFonts w:asciiTheme="minorHAnsi" w:hAnsiTheme="minorHAnsi" w:cstheme="minorBidi"/>
          <w:sz w:val="18"/>
          <w:szCs w:val="18"/>
        </w:rPr>
        <w:t>(c) Information on the medium term implications will be provided if the cost of the policy is expected to be significantly different beyond the forward estimates period. The medium term is considered to be the 7 years after the current forward estimates.</w:t>
      </w:r>
      <w:r w:rsidR="29F76132">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tblGrid>
      <w:tr w:rsidR="003464FA" w:rsidRPr="00976DDC" w14:paraId="65EFCDB3" w14:textId="77777777" w:rsidTr="00A661BF">
        <w:tc>
          <w:tcPr>
            <w:tcW w:w="5000" w:type="pct"/>
            <w:tcBorders>
              <w:bottom w:val="dotted" w:sz="4" w:space="0" w:color="7F7F7F" w:themeColor="text1" w:themeTint="80"/>
            </w:tcBorders>
            <w:shd w:val="pct10" w:color="auto" w:fill="auto"/>
          </w:tcPr>
          <w:p w14:paraId="3E8A97D6" w14:textId="77777777" w:rsidR="003464FA" w:rsidRPr="00976DDC" w:rsidRDefault="003464FA" w:rsidP="00A661BF">
            <w:pPr>
              <w:pStyle w:val="Headings"/>
              <w:keepNext/>
              <w:spacing w:before="120" w:after="120"/>
              <w:rPr>
                <w:rFonts w:asciiTheme="minorHAnsi" w:hAnsiTheme="minorHAnsi" w:cstheme="minorHAnsi"/>
                <w:sz w:val="22"/>
                <w:szCs w:val="22"/>
              </w:rPr>
            </w:pPr>
            <w:r w:rsidRPr="00976DDC">
              <w:rPr>
                <w:rFonts w:asciiTheme="minorHAnsi" w:hAnsiTheme="minorHAnsi" w:cstheme="minorHAnsi"/>
                <w:sz w:val="22"/>
                <w:szCs w:val="22"/>
              </w:rPr>
              <w:t>Background information</w:t>
            </w:r>
          </w:p>
        </w:tc>
      </w:tr>
      <w:tr w:rsidR="003464FA" w:rsidRPr="00976DDC" w14:paraId="45D2A498" w14:textId="77777777" w:rsidTr="00A661BF">
        <w:tc>
          <w:tcPr>
            <w:tcW w:w="500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BB32784" w14:textId="77777777" w:rsidR="003464FA" w:rsidRPr="00976DDC" w:rsidRDefault="003464FA" w:rsidP="00C72EBF">
            <w:pPr>
              <w:pStyle w:val="Text"/>
              <w:spacing w:before="120" w:after="80"/>
              <w:rPr>
                <w:rFonts w:asciiTheme="minorHAnsi" w:hAnsiTheme="minorHAnsi" w:cstheme="minorHAnsi"/>
                <w:b/>
                <w:sz w:val="22"/>
                <w:szCs w:val="22"/>
              </w:rPr>
            </w:pPr>
            <w:r w:rsidRPr="00976DDC">
              <w:rPr>
                <w:rFonts w:asciiTheme="minorHAnsi" w:hAnsiTheme="minorHAnsi" w:cstheme="minorHAnsi"/>
                <w:b/>
                <w:sz w:val="22"/>
                <w:szCs w:val="22"/>
              </w:rPr>
              <w:t>Costing methodology used:</w:t>
            </w:r>
          </w:p>
          <w:p w14:paraId="3E0F7972" w14:textId="77777777" w:rsidR="003464FA" w:rsidRDefault="003464FA" w:rsidP="00C72EBF">
            <w:pPr>
              <w:pStyle w:val="Text"/>
              <w:spacing w:before="120" w:after="80"/>
              <w:rPr>
                <w:rFonts w:asciiTheme="minorHAnsi" w:hAnsiTheme="minorHAnsi"/>
                <w:sz w:val="22"/>
                <w:szCs w:val="22"/>
              </w:rPr>
            </w:pPr>
            <w:r w:rsidRPr="62D40865">
              <w:rPr>
                <w:rFonts w:asciiTheme="minorHAnsi" w:hAnsiTheme="minorHAnsi"/>
                <w:sz w:val="22"/>
                <w:szCs w:val="22"/>
              </w:rPr>
              <w:t xml:space="preserve">For guarantees provided: </w:t>
            </w:r>
          </w:p>
          <w:p w14:paraId="72B2E513" w14:textId="77777777" w:rsidR="003464FA" w:rsidRDefault="003464FA" w:rsidP="00C72EBF">
            <w:pPr>
              <w:pStyle w:val="Text"/>
              <w:numPr>
                <w:ilvl w:val="0"/>
                <w:numId w:val="42"/>
              </w:numPr>
              <w:spacing w:before="120" w:after="80"/>
              <w:ind w:left="357" w:hanging="357"/>
              <w:rPr>
                <w:rFonts w:asciiTheme="minorHAnsi" w:hAnsiTheme="minorHAnsi"/>
                <w:sz w:val="22"/>
                <w:szCs w:val="22"/>
              </w:rPr>
            </w:pPr>
            <w:r w:rsidRPr="62D40865">
              <w:rPr>
                <w:rFonts w:asciiTheme="minorHAnsi" w:hAnsiTheme="minorHAnsi"/>
                <w:sz w:val="22"/>
                <w:szCs w:val="22"/>
              </w:rPr>
              <w:t xml:space="preserve">The total value guaranteed by the loan guarantee scheme is $75.0 million. </w:t>
            </w:r>
          </w:p>
          <w:p w14:paraId="540B01DD" w14:textId="77777777" w:rsidR="003464FA" w:rsidRDefault="003464FA" w:rsidP="00C72EBF">
            <w:pPr>
              <w:pStyle w:val="Text"/>
              <w:numPr>
                <w:ilvl w:val="0"/>
                <w:numId w:val="42"/>
              </w:numPr>
              <w:spacing w:before="120" w:after="80"/>
              <w:ind w:left="357" w:hanging="357"/>
              <w:rPr>
                <w:rFonts w:asciiTheme="minorHAnsi" w:hAnsiTheme="minorHAnsi"/>
                <w:sz w:val="22"/>
                <w:szCs w:val="22"/>
              </w:rPr>
            </w:pPr>
            <w:r w:rsidRPr="62D40865">
              <w:rPr>
                <w:rFonts w:asciiTheme="minorHAnsi" w:hAnsiTheme="minorHAnsi"/>
                <w:sz w:val="22"/>
                <w:szCs w:val="22"/>
              </w:rPr>
              <w:t>The upper end of a range of default rates for similar farm business concessional loan schemes was used.</w:t>
            </w:r>
          </w:p>
          <w:p w14:paraId="45534DC8" w14:textId="036B3055" w:rsidR="003464FA" w:rsidRDefault="003464FA" w:rsidP="00C72EBF">
            <w:pPr>
              <w:pStyle w:val="Text"/>
              <w:numPr>
                <w:ilvl w:val="0"/>
                <w:numId w:val="42"/>
              </w:numPr>
              <w:spacing w:before="120" w:after="80"/>
              <w:ind w:left="357" w:hanging="357"/>
              <w:rPr>
                <w:rFonts w:asciiTheme="minorHAnsi" w:hAnsiTheme="minorHAnsi"/>
                <w:sz w:val="22"/>
                <w:szCs w:val="22"/>
              </w:rPr>
            </w:pPr>
            <w:r w:rsidRPr="62D40865">
              <w:rPr>
                <w:rFonts w:asciiTheme="minorHAnsi" w:hAnsiTheme="minorHAnsi"/>
                <w:sz w:val="22"/>
                <w:szCs w:val="22"/>
              </w:rPr>
              <w:t xml:space="preserve">The uptake of the guarantee is evenly spread over 18 months and any claims paid will be evenly distributed over the guarantee period. </w:t>
            </w:r>
          </w:p>
          <w:p w14:paraId="27DBCAF9" w14:textId="77777777" w:rsidR="003464FA" w:rsidRDefault="003464FA" w:rsidP="00C72EBF">
            <w:pPr>
              <w:pStyle w:val="Text"/>
              <w:numPr>
                <w:ilvl w:val="0"/>
                <w:numId w:val="41"/>
              </w:numPr>
              <w:spacing w:before="120" w:after="80"/>
              <w:ind w:left="357" w:hanging="357"/>
              <w:rPr>
                <w:sz w:val="22"/>
                <w:szCs w:val="22"/>
              </w:rPr>
            </w:pPr>
            <w:r w:rsidRPr="62D40865">
              <w:rPr>
                <w:rFonts w:asciiTheme="minorHAnsi" w:eastAsiaTheme="minorEastAsia" w:hAnsiTheme="minorHAnsi"/>
                <w:sz w:val="22"/>
                <w:szCs w:val="22"/>
              </w:rPr>
              <w:t>It is expected that around 100 loans would be guaranteed.</w:t>
            </w:r>
          </w:p>
          <w:p w14:paraId="360679B7" w14:textId="77777777" w:rsidR="003464FA" w:rsidRDefault="003464FA" w:rsidP="00C72EBF">
            <w:pPr>
              <w:pStyle w:val="Text"/>
              <w:numPr>
                <w:ilvl w:val="0"/>
                <w:numId w:val="41"/>
              </w:numPr>
              <w:spacing w:before="120" w:after="80"/>
              <w:ind w:left="357" w:hanging="357"/>
              <w:rPr>
                <w:sz w:val="22"/>
                <w:szCs w:val="22"/>
              </w:rPr>
            </w:pPr>
            <w:r w:rsidRPr="62D40865">
              <w:rPr>
                <w:rFonts w:asciiTheme="minorHAnsi" w:eastAsiaTheme="minorEastAsia" w:hAnsiTheme="minorHAnsi"/>
                <w:sz w:val="22"/>
                <w:szCs w:val="22"/>
              </w:rPr>
              <w:t>Eligible loans would have a maximum term of 10 years, with an option to extend the loan term by two years for applicants who are experiencing s</w:t>
            </w:r>
            <w:r>
              <w:rPr>
                <w:rFonts w:asciiTheme="minorHAnsi" w:eastAsiaTheme="minorEastAsia" w:hAnsiTheme="minorHAnsi"/>
                <w:sz w:val="22"/>
                <w:szCs w:val="22"/>
              </w:rPr>
              <w:t xml:space="preserve">ignificant financial hardship. </w:t>
            </w:r>
            <w:r w:rsidRPr="62D40865">
              <w:rPr>
                <w:rFonts w:asciiTheme="minorHAnsi" w:hAnsiTheme="minorHAnsi"/>
                <w:sz w:val="22"/>
                <w:szCs w:val="22"/>
              </w:rPr>
              <w:t>A further allowance is provided to account for mediation or recovery action.</w:t>
            </w:r>
          </w:p>
          <w:p w14:paraId="3178315B" w14:textId="77777777" w:rsidR="003464FA" w:rsidRDefault="003464FA" w:rsidP="003464FA">
            <w:pPr>
              <w:pStyle w:val="Text"/>
              <w:spacing w:before="120" w:after="120"/>
              <w:rPr>
                <w:rFonts w:asciiTheme="minorHAnsi" w:hAnsiTheme="minorHAnsi"/>
                <w:sz w:val="22"/>
                <w:szCs w:val="22"/>
              </w:rPr>
            </w:pPr>
            <w:r w:rsidRPr="62D40865">
              <w:rPr>
                <w:rFonts w:asciiTheme="minorHAnsi" w:hAnsiTheme="minorHAnsi"/>
                <w:sz w:val="22"/>
                <w:szCs w:val="22"/>
              </w:rPr>
              <w:t>For reallocation of RIC loan funding:</w:t>
            </w:r>
          </w:p>
          <w:p w14:paraId="6B0A3BA9" w14:textId="18C9330F" w:rsidR="003464FA" w:rsidRPr="006E3319" w:rsidRDefault="003464FA" w:rsidP="00C72EBF">
            <w:pPr>
              <w:pStyle w:val="Text"/>
              <w:numPr>
                <w:ilvl w:val="0"/>
                <w:numId w:val="42"/>
              </w:numPr>
              <w:spacing w:before="120" w:after="80"/>
              <w:ind w:left="357" w:hanging="357"/>
              <w:rPr>
                <w:rFonts w:asciiTheme="minorHAnsi" w:hAnsiTheme="minorHAnsi"/>
                <w:sz w:val="22"/>
                <w:szCs w:val="22"/>
              </w:rPr>
            </w:pPr>
            <w:r w:rsidRPr="62D40865">
              <w:rPr>
                <w:rFonts w:asciiTheme="minorHAnsi" w:hAnsiTheme="minorHAnsi"/>
                <w:sz w:val="22"/>
                <w:szCs w:val="22"/>
              </w:rPr>
              <w:t>Of the RIC loan funding diverted to the scheme, $25.0 million of loans would not be made in 2022</w:t>
            </w:r>
            <w:r w:rsidR="00CB2F05">
              <w:rPr>
                <w:rFonts w:asciiTheme="minorHAnsi" w:hAnsiTheme="minorHAnsi"/>
                <w:sz w:val="22"/>
                <w:szCs w:val="22"/>
              </w:rPr>
              <w:noBreakHyphen/>
            </w:r>
            <w:r w:rsidRPr="62D40865">
              <w:rPr>
                <w:rFonts w:asciiTheme="minorHAnsi" w:hAnsiTheme="minorHAnsi"/>
                <w:sz w:val="22"/>
                <w:szCs w:val="22"/>
              </w:rPr>
              <w:t xml:space="preserve">23 and $50.0 million of loans would not be made in 2023-24. </w:t>
            </w:r>
          </w:p>
          <w:p w14:paraId="029FA6CD" w14:textId="426323DC" w:rsidR="003464FA" w:rsidRDefault="003464FA" w:rsidP="00C72EBF">
            <w:pPr>
              <w:pStyle w:val="Text"/>
              <w:numPr>
                <w:ilvl w:val="0"/>
                <w:numId w:val="42"/>
              </w:numPr>
              <w:spacing w:before="120" w:after="80"/>
              <w:ind w:left="357" w:hanging="357"/>
              <w:rPr>
                <w:rFonts w:asciiTheme="minorHAnsi" w:hAnsiTheme="minorHAnsi"/>
                <w:sz w:val="22"/>
                <w:szCs w:val="22"/>
              </w:rPr>
            </w:pPr>
            <w:r w:rsidRPr="64EA513A">
              <w:rPr>
                <w:rFonts w:asciiTheme="minorHAnsi" w:hAnsiTheme="minorHAnsi"/>
                <w:sz w:val="22"/>
                <w:szCs w:val="22"/>
              </w:rPr>
              <w:t xml:space="preserve">The loans no longer made were costed using the same assumptions for concessional loans through the RIC, as currently applied in the PEFO 2022 estimates. This includes that the loans would have paid interest only for years one to five, </w:t>
            </w:r>
            <w:r w:rsidR="00BE2C69">
              <w:rPr>
                <w:rFonts w:asciiTheme="minorHAnsi" w:hAnsiTheme="minorHAnsi"/>
                <w:sz w:val="22"/>
                <w:szCs w:val="22"/>
              </w:rPr>
              <w:t xml:space="preserve">and </w:t>
            </w:r>
            <w:r w:rsidRPr="64EA513A">
              <w:rPr>
                <w:rFonts w:asciiTheme="minorHAnsi" w:hAnsiTheme="minorHAnsi"/>
                <w:sz w:val="22"/>
                <w:szCs w:val="22"/>
              </w:rPr>
              <w:t xml:space="preserve">interest and principal for years six to ten. </w:t>
            </w:r>
          </w:p>
          <w:p w14:paraId="41CEC93C" w14:textId="77777777" w:rsidR="003464FA" w:rsidRDefault="003464FA" w:rsidP="00C72EBF">
            <w:pPr>
              <w:pStyle w:val="Text"/>
              <w:numPr>
                <w:ilvl w:val="0"/>
                <w:numId w:val="42"/>
              </w:numPr>
              <w:spacing w:before="120" w:after="80"/>
              <w:ind w:left="357" w:hanging="357"/>
              <w:rPr>
                <w:sz w:val="22"/>
                <w:szCs w:val="22"/>
              </w:rPr>
            </w:pPr>
            <w:r w:rsidRPr="41FEB649">
              <w:rPr>
                <w:rFonts w:asciiTheme="minorHAnsi" w:hAnsiTheme="minorHAnsi"/>
                <w:sz w:val="22"/>
                <w:szCs w:val="22"/>
              </w:rPr>
              <w:t>There is an assumption that the current interest rate of 2.31% on the loans continues.</w:t>
            </w:r>
          </w:p>
          <w:p w14:paraId="1D7C3E31" w14:textId="77777777" w:rsidR="0061080A" w:rsidRDefault="003464FA" w:rsidP="00C72EBF">
            <w:pPr>
              <w:pStyle w:val="Text"/>
              <w:spacing w:before="120"/>
              <w:rPr>
                <w:rFonts w:asciiTheme="minorHAnsi" w:hAnsiTheme="minorHAnsi" w:cstheme="minorHAnsi"/>
                <w:sz w:val="22"/>
                <w:szCs w:val="22"/>
              </w:rPr>
            </w:pPr>
            <w:r w:rsidRPr="00976DDC">
              <w:rPr>
                <w:rFonts w:asciiTheme="minorHAnsi" w:hAnsiTheme="minorHAnsi" w:cstheme="minorHAnsi"/>
                <w:b/>
                <w:sz w:val="22"/>
                <w:szCs w:val="22"/>
              </w:rPr>
              <w:t>Behavioural assumptions used (as appropriate)</w:t>
            </w:r>
            <w:r>
              <w:rPr>
                <w:rFonts w:asciiTheme="minorHAnsi" w:hAnsiTheme="minorHAnsi" w:cstheme="minorHAnsi"/>
                <w:b/>
                <w:sz w:val="22"/>
                <w:szCs w:val="22"/>
              </w:rPr>
              <w:t>:</w:t>
            </w:r>
            <w:r w:rsidR="00C91CA3">
              <w:rPr>
                <w:rFonts w:asciiTheme="minorHAnsi" w:hAnsiTheme="minorHAnsi" w:cstheme="minorHAnsi"/>
                <w:sz w:val="22"/>
                <w:szCs w:val="22"/>
              </w:rPr>
              <w:t xml:space="preserve"> </w:t>
            </w:r>
          </w:p>
          <w:p w14:paraId="78AAA6EC" w14:textId="137F80C8" w:rsidR="003464FA" w:rsidRPr="00976DDC" w:rsidRDefault="003464FA" w:rsidP="00C72EBF">
            <w:pPr>
              <w:pStyle w:val="Text"/>
              <w:spacing w:before="120"/>
              <w:rPr>
                <w:rFonts w:asciiTheme="minorHAnsi" w:hAnsiTheme="minorHAnsi" w:cstheme="minorHAnsi"/>
                <w:sz w:val="22"/>
                <w:szCs w:val="22"/>
              </w:rPr>
            </w:pPr>
            <w:r>
              <w:rPr>
                <w:rFonts w:asciiTheme="minorHAnsi" w:hAnsiTheme="minorHAnsi" w:cstheme="minorHAnsi"/>
                <w:sz w:val="22"/>
                <w:szCs w:val="22"/>
              </w:rPr>
              <w:t>Not applicable</w:t>
            </w:r>
            <w:r w:rsidR="00CB2F05">
              <w:rPr>
                <w:rFonts w:asciiTheme="minorHAnsi" w:hAnsiTheme="minorHAnsi" w:cstheme="minorHAnsi"/>
                <w:sz w:val="22"/>
                <w:szCs w:val="22"/>
              </w:rPr>
              <w:t>.</w:t>
            </w:r>
          </w:p>
        </w:tc>
      </w:tr>
    </w:tbl>
    <w:p w14:paraId="72FCD21E" w14:textId="77777777" w:rsidR="000C3665" w:rsidRPr="009B10F2" w:rsidRDefault="000C3665" w:rsidP="00C72EBF">
      <w:pPr>
        <w:spacing w:after="0" w:line="240" w:lineRule="auto"/>
        <w:jc w:val="left"/>
        <w:rPr>
          <w:sz w:val="2"/>
        </w:rPr>
      </w:pPr>
    </w:p>
    <w:sectPr w:rsidR="000C3665" w:rsidRPr="009B10F2" w:rsidSect="008033F6">
      <w:footerReference w:type="default" r:id="rId14"/>
      <w:footerReference w:type="first" r:id="rId15"/>
      <w:pgSz w:w="11906" w:h="16838" w:code="9"/>
      <w:pgMar w:top="1021" w:right="1247" w:bottom="1021" w:left="1247" w:header="1899" w:footer="9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DD5E5" w14:textId="77777777" w:rsidR="00DE69F8" w:rsidRDefault="00DE69F8" w:rsidP="0035369B">
      <w:pPr>
        <w:spacing w:after="0" w:line="240" w:lineRule="auto"/>
      </w:pPr>
      <w:r>
        <w:separator/>
      </w:r>
    </w:p>
  </w:endnote>
  <w:endnote w:type="continuationSeparator" w:id="0">
    <w:p w14:paraId="149170AD" w14:textId="77777777" w:rsidR="00DE69F8" w:rsidRDefault="00DE69F8" w:rsidP="0035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52A4" w14:textId="4DF8C1CA" w:rsidR="00B41CA8" w:rsidRPr="00916340" w:rsidRDefault="00B41CA8" w:rsidP="008033F6">
    <w:pPr>
      <w:pStyle w:val="Footer"/>
      <w:rPr>
        <w:rFonts w:asciiTheme="minorHAnsi" w:hAnsiTheme="minorHAnsi" w:cstheme="minorHAnsi"/>
        <w:sz w:val="22"/>
      </w:rPr>
    </w:pPr>
    <w:r w:rsidRPr="00916340">
      <w:rPr>
        <w:rFonts w:asciiTheme="minorHAnsi" w:hAnsiTheme="minorHAnsi" w:cstheme="minorHAnsi"/>
        <w:sz w:val="22"/>
      </w:rPr>
      <w:fldChar w:fldCharType="begin"/>
    </w:r>
    <w:r w:rsidRPr="00916340">
      <w:rPr>
        <w:rFonts w:asciiTheme="minorHAnsi" w:hAnsiTheme="minorHAnsi" w:cstheme="minorHAnsi"/>
        <w:sz w:val="22"/>
      </w:rPr>
      <w:instrText xml:space="preserve"> PAGE   \* MERGEFORMAT </w:instrText>
    </w:r>
    <w:r w:rsidRPr="00916340">
      <w:rPr>
        <w:rFonts w:asciiTheme="minorHAnsi" w:hAnsiTheme="minorHAnsi" w:cstheme="minorHAnsi"/>
        <w:sz w:val="22"/>
      </w:rPr>
      <w:fldChar w:fldCharType="separate"/>
    </w:r>
    <w:r w:rsidR="00F67BEE">
      <w:rPr>
        <w:rFonts w:asciiTheme="minorHAnsi" w:hAnsiTheme="minorHAnsi" w:cstheme="minorHAnsi"/>
        <w:noProof/>
        <w:sz w:val="22"/>
      </w:rPr>
      <w:t>3</w:t>
    </w:r>
    <w:r w:rsidRPr="00916340">
      <w:rPr>
        <w:rFonts w:asciiTheme="minorHAnsi" w:hAnsiTheme="minorHAnsi" w:cstheme="minorHAnsi"/>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0945" w14:textId="77777777" w:rsidR="00B41CA8" w:rsidRDefault="00B41CA8">
    <w:pPr>
      <w:pStyle w:val="Footer"/>
    </w:pPr>
    <w:r>
      <w:fldChar w:fldCharType="begin"/>
    </w:r>
    <w:r>
      <w:instrText xml:space="preserve"> PAGE   \* MERGEFORMAT </w:instrText>
    </w:r>
    <w:r>
      <w:fldChar w:fldCharType="separate"/>
    </w:r>
    <w:r>
      <w:rPr>
        <w:noProof/>
      </w:rPr>
      <w:t>1</w:t>
    </w:r>
    <w:r>
      <w:rPr>
        <w:noProof/>
      </w:rPr>
      <w:fldChar w:fldCharType="end"/>
    </w:r>
  </w:p>
  <w:p w14:paraId="66559A9E" w14:textId="77777777" w:rsidR="00B41CA8" w:rsidRDefault="00B41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B16A" w14:textId="77777777" w:rsidR="00DE69F8" w:rsidRDefault="00DE69F8" w:rsidP="0035369B">
      <w:pPr>
        <w:spacing w:after="0" w:line="240" w:lineRule="auto"/>
      </w:pPr>
      <w:r>
        <w:separator/>
      </w:r>
    </w:p>
  </w:footnote>
  <w:footnote w:type="continuationSeparator" w:id="0">
    <w:p w14:paraId="2181BDC3" w14:textId="77777777" w:rsidR="00DE69F8" w:rsidRDefault="00DE69F8" w:rsidP="00353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2C78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30C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46F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50A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26D8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06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02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903A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B81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9A88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C2BD5"/>
    <w:multiLevelType w:val="hybridMultilevel"/>
    <w:tmpl w:val="6542F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020885"/>
    <w:multiLevelType w:val="hybridMultilevel"/>
    <w:tmpl w:val="1BAE6A28"/>
    <w:lvl w:ilvl="0" w:tplc="4740D76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C42909"/>
    <w:multiLevelType w:val="multilevel"/>
    <w:tmpl w:val="364E9E1C"/>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4" w15:restartNumberingAfterBreak="0">
    <w:nsid w:val="1A4F7484"/>
    <w:multiLevelType w:val="hybridMultilevel"/>
    <w:tmpl w:val="E6EEF3A6"/>
    <w:lvl w:ilvl="0" w:tplc="C94AD9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6F3660"/>
    <w:multiLevelType w:val="multilevel"/>
    <w:tmpl w:val="C34E3E2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810F7B"/>
    <w:multiLevelType w:val="hybridMultilevel"/>
    <w:tmpl w:val="4EF0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8706CB"/>
    <w:multiLevelType w:val="multilevel"/>
    <w:tmpl w:val="474C951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062417"/>
    <w:multiLevelType w:val="multilevel"/>
    <w:tmpl w:val="8F82FEA6"/>
    <w:name w:val="StandardBulletedList"/>
    <w:styleLink w:val="CABNETList1"/>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FF758CC"/>
    <w:multiLevelType w:val="multilevel"/>
    <w:tmpl w:val="0C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CD24C6"/>
    <w:multiLevelType w:val="hybridMultilevel"/>
    <w:tmpl w:val="08168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2E19AC"/>
    <w:multiLevelType w:val="singleLevel"/>
    <w:tmpl w:val="9140D190"/>
    <w:lvl w:ilvl="0">
      <w:start w:val="2"/>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22" w15:restartNumberingAfterBreak="0">
    <w:nsid w:val="3B37776F"/>
    <w:multiLevelType w:val="hybridMultilevel"/>
    <w:tmpl w:val="640ED95E"/>
    <w:lvl w:ilvl="0" w:tplc="A10CCC84">
      <w:start w:val="2025"/>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5A1AC2"/>
    <w:multiLevelType w:val="hybridMultilevel"/>
    <w:tmpl w:val="60CCE746"/>
    <w:lvl w:ilvl="0" w:tplc="D1B6ADD6">
      <w:start w:val="1"/>
      <w:numFmt w:val="bullet"/>
      <w:lvlText w:val=":"/>
      <w:lvlJc w:val="left"/>
      <w:pPr>
        <w:tabs>
          <w:tab w:val="num" w:pos="709"/>
        </w:tabs>
        <w:ind w:left="709" w:firstLine="0"/>
      </w:pPr>
      <w:rPr>
        <w:rFonts w:ascii="Book Antiqua" w:hAnsi="Book Antiqu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5" w15:restartNumberingAfterBreak="0">
    <w:nsid w:val="4AC6545D"/>
    <w:multiLevelType w:val="hybridMultilevel"/>
    <w:tmpl w:val="0E68282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9335E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E6304D4"/>
    <w:multiLevelType w:val="hybridMultilevel"/>
    <w:tmpl w:val="B77E0C94"/>
    <w:lvl w:ilvl="0" w:tplc="D98ED764">
      <w:start w:val="1"/>
      <w:numFmt w:val="bullet"/>
      <w:lvlText w:val="•"/>
      <w:lvlJc w:val="left"/>
      <w:pPr>
        <w:tabs>
          <w:tab w:val="num" w:pos="284"/>
        </w:tabs>
        <w:ind w:left="284" w:firstLine="0"/>
      </w:pPr>
      <w:rPr>
        <w:rFont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5134691"/>
    <w:multiLevelType w:val="hybridMultilevel"/>
    <w:tmpl w:val="D81AF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647A92"/>
    <w:multiLevelType w:val="hybridMultilevel"/>
    <w:tmpl w:val="13EA3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1" w15:restartNumberingAfterBreak="0">
    <w:nsid w:val="6B8E6F1D"/>
    <w:multiLevelType w:val="hybridMultilevel"/>
    <w:tmpl w:val="11289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A0108B"/>
    <w:multiLevelType w:val="hybridMultilevel"/>
    <w:tmpl w:val="D436B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0EF47E6"/>
    <w:multiLevelType w:val="hybridMultilevel"/>
    <w:tmpl w:val="258278F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7D7B22"/>
    <w:multiLevelType w:val="multilevel"/>
    <w:tmpl w:val="0F5C9798"/>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21"/>
  </w:num>
  <w:num w:numId="3">
    <w:abstractNumId w:val="13"/>
  </w:num>
  <w:num w:numId="4">
    <w:abstractNumId w:val="31"/>
  </w:num>
  <w:num w:numId="5">
    <w:abstractNumId w:val="24"/>
  </w:num>
  <w:num w:numId="6">
    <w:abstractNumId w:val="3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21"/>
  </w:num>
  <w:num w:numId="19">
    <w:abstractNumId w:val="21"/>
    <w:lvlOverride w:ilvl="0">
      <w:startOverride w:val="1"/>
    </w:lvlOverride>
  </w:num>
  <w:num w:numId="20">
    <w:abstractNumId w:val="12"/>
  </w:num>
  <w:num w:numId="21">
    <w:abstractNumId w:val="18"/>
  </w:num>
  <w:num w:numId="22">
    <w:abstractNumId w:val="27"/>
  </w:num>
  <w:num w:numId="23">
    <w:abstractNumId w:val="19"/>
  </w:num>
  <w:num w:numId="24">
    <w:abstractNumId w:val="34"/>
  </w:num>
  <w:num w:numId="25">
    <w:abstractNumId w:val="15"/>
  </w:num>
  <w:num w:numId="26">
    <w:abstractNumId w:val="17"/>
  </w:num>
  <w:num w:numId="27">
    <w:abstractNumId w:val="23"/>
  </w:num>
  <w:num w:numId="28">
    <w:abstractNumId w:val="28"/>
  </w:num>
  <w:num w:numId="29">
    <w:abstractNumId w:val="32"/>
  </w:num>
  <w:num w:numId="30">
    <w:abstractNumId w:val="12"/>
  </w:num>
  <w:num w:numId="31">
    <w:abstractNumId w:val="16"/>
  </w:num>
  <w:num w:numId="32">
    <w:abstractNumId w:val="25"/>
  </w:num>
  <w:num w:numId="33">
    <w:abstractNumId w:val="20"/>
  </w:num>
  <w:num w:numId="34">
    <w:abstractNumId w:val="10"/>
  </w:num>
  <w:num w:numId="35">
    <w:abstractNumId w:val="22"/>
  </w:num>
  <w:num w:numId="36">
    <w:abstractNumId w:val="21"/>
  </w:num>
  <w:num w:numId="37">
    <w:abstractNumId w:val="21"/>
  </w:num>
  <w:num w:numId="38">
    <w:abstractNumId w:val="21"/>
  </w:num>
  <w:num w:numId="39">
    <w:abstractNumId w:val="21"/>
  </w:num>
  <w:num w:numId="40">
    <w:abstractNumId w:val="14"/>
  </w:num>
  <w:num w:numId="41">
    <w:abstractNumId w:val="33"/>
  </w:num>
  <w:num w:numId="42">
    <w:abstractNumId w:val="2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defaultTabStop w:val="720"/>
  <w:drawingGridHorizontalSpacing w:val="100"/>
  <w:displayHorizontalDrawingGridEvery w:val="2"/>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True"/>
  </w:docVars>
  <w:rsids>
    <w:rsidRoot w:val="000F5785"/>
    <w:rsid w:val="000004FF"/>
    <w:rsid w:val="00000774"/>
    <w:rsid w:val="00001046"/>
    <w:rsid w:val="00001EAE"/>
    <w:rsid w:val="00003157"/>
    <w:rsid w:val="000033A9"/>
    <w:rsid w:val="0000388D"/>
    <w:rsid w:val="00003C23"/>
    <w:rsid w:val="0000498F"/>
    <w:rsid w:val="00004D4E"/>
    <w:rsid w:val="000057A6"/>
    <w:rsid w:val="000109CE"/>
    <w:rsid w:val="00012821"/>
    <w:rsid w:val="00014B80"/>
    <w:rsid w:val="00020548"/>
    <w:rsid w:val="00021A2B"/>
    <w:rsid w:val="0002274E"/>
    <w:rsid w:val="00023E07"/>
    <w:rsid w:val="00023FFB"/>
    <w:rsid w:val="000245ED"/>
    <w:rsid w:val="000260A4"/>
    <w:rsid w:val="0002678F"/>
    <w:rsid w:val="00031226"/>
    <w:rsid w:val="000328B6"/>
    <w:rsid w:val="000331F6"/>
    <w:rsid w:val="000337CC"/>
    <w:rsid w:val="00036EF9"/>
    <w:rsid w:val="00041B95"/>
    <w:rsid w:val="00042230"/>
    <w:rsid w:val="0004697C"/>
    <w:rsid w:val="000469CA"/>
    <w:rsid w:val="00050000"/>
    <w:rsid w:val="00050F3F"/>
    <w:rsid w:val="000514F8"/>
    <w:rsid w:val="00052419"/>
    <w:rsid w:val="00053A5A"/>
    <w:rsid w:val="00054029"/>
    <w:rsid w:val="00054C01"/>
    <w:rsid w:val="00056167"/>
    <w:rsid w:val="00057750"/>
    <w:rsid w:val="00060646"/>
    <w:rsid w:val="00062100"/>
    <w:rsid w:val="00062E44"/>
    <w:rsid w:val="00064067"/>
    <w:rsid w:val="00073AD0"/>
    <w:rsid w:val="00076C73"/>
    <w:rsid w:val="00077B82"/>
    <w:rsid w:val="000825D2"/>
    <w:rsid w:val="00083077"/>
    <w:rsid w:val="00084091"/>
    <w:rsid w:val="0008503F"/>
    <w:rsid w:val="000856CB"/>
    <w:rsid w:val="00085761"/>
    <w:rsid w:val="000868D3"/>
    <w:rsid w:val="00093065"/>
    <w:rsid w:val="0009338B"/>
    <w:rsid w:val="00094854"/>
    <w:rsid w:val="000961A2"/>
    <w:rsid w:val="00097196"/>
    <w:rsid w:val="00097846"/>
    <w:rsid w:val="000A37E2"/>
    <w:rsid w:val="000A5A25"/>
    <w:rsid w:val="000B224B"/>
    <w:rsid w:val="000B6334"/>
    <w:rsid w:val="000B7347"/>
    <w:rsid w:val="000C3665"/>
    <w:rsid w:val="000C68E0"/>
    <w:rsid w:val="000D02B6"/>
    <w:rsid w:val="000D294C"/>
    <w:rsid w:val="000D3155"/>
    <w:rsid w:val="000D32DE"/>
    <w:rsid w:val="000D3FC7"/>
    <w:rsid w:val="000D5052"/>
    <w:rsid w:val="000D5C3B"/>
    <w:rsid w:val="000D5FF6"/>
    <w:rsid w:val="000E094B"/>
    <w:rsid w:val="000E0E79"/>
    <w:rsid w:val="000E1061"/>
    <w:rsid w:val="000E157A"/>
    <w:rsid w:val="000E2106"/>
    <w:rsid w:val="000E2CEF"/>
    <w:rsid w:val="000E2ECA"/>
    <w:rsid w:val="000E3723"/>
    <w:rsid w:val="000E3AE1"/>
    <w:rsid w:val="000E4131"/>
    <w:rsid w:val="000E4AEC"/>
    <w:rsid w:val="000E7788"/>
    <w:rsid w:val="000F0113"/>
    <w:rsid w:val="000F2A0B"/>
    <w:rsid w:val="000F4DC9"/>
    <w:rsid w:val="000F5785"/>
    <w:rsid w:val="000F712E"/>
    <w:rsid w:val="00100394"/>
    <w:rsid w:val="001017C7"/>
    <w:rsid w:val="0010364E"/>
    <w:rsid w:val="001037A5"/>
    <w:rsid w:val="0010467C"/>
    <w:rsid w:val="001046EE"/>
    <w:rsid w:val="0010499D"/>
    <w:rsid w:val="00105AFC"/>
    <w:rsid w:val="001063A9"/>
    <w:rsid w:val="00113313"/>
    <w:rsid w:val="00115E2A"/>
    <w:rsid w:val="0011634C"/>
    <w:rsid w:val="00116DF9"/>
    <w:rsid w:val="00120EF6"/>
    <w:rsid w:val="00121CE2"/>
    <w:rsid w:val="00121E5A"/>
    <w:rsid w:val="0012256C"/>
    <w:rsid w:val="001226C1"/>
    <w:rsid w:val="00122E87"/>
    <w:rsid w:val="00123486"/>
    <w:rsid w:val="00123BA3"/>
    <w:rsid w:val="00123E40"/>
    <w:rsid w:val="00124032"/>
    <w:rsid w:val="00125991"/>
    <w:rsid w:val="00125EA2"/>
    <w:rsid w:val="00130C45"/>
    <w:rsid w:val="0013191E"/>
    <w:rsid w:val="00132A82"/>
    <w:rsid w:val="00132F61"/>
    <w:rsid w:val="0013330B"/>
    <w:rsid w:val="00133474"/>
    <w:rsid w:val="00134152"/>
    <w:rsid w:val="001345A9"/>
    <w:rsid w:val="00134D1E"/>
    <w:rsid w:val="00135B3E"/>
    <w:rsid w:val="00136498"/>
    <w:rsid w:val="00136655"/>
    <w:rsid w:val="0013683C"/>
    <w:rsid w:val="00141D1D"/>
    <w:rsid w:val="001427B2"/>
    <w:rsid w:val="001436D3"/>
    <w:rsid w:val="00143BB8"/>
    <w:rsid w:val="00150982"/>
    <w:rsid w:val="00150EA9"/>
    <w:rsid w:val="0015121E"/>
    <w:rsid w:val="00151BFE"/>
    <w:rsid w:val="00154E5E"/>
    <w:rsid w:val="0015536E"/>
    <w:rsid w:val="0016146A"/>
    <w:rsid w:val="00161682"/>
    <w:rsid w:val="001634BD"/>
    <w:rsid w:val="00165B97"/>
    <w:rsid w:val="001664AD"/>
    <w:rsid w:val="0017027F"/>
    <w:rsid w:val="0017152C"/>
    <w:rsid w:val="0017505B"/>
    <w:rsid w:val="00175BC9"/>
    <w:rsid w:val="0018070E"/>
    <w:rsid w:val="00181691"/>
    <w:rsid w:val="00181917"/>
    <w:rsid w:val="0018309A"/>
    <w:rsid w:val="001861B0"/>
    <w:rsid w:val="001908EA"/>
    <w:rsid w:val="00191C95"/>
    <w:rsid w:val="0019224F"/>
    <w:rsid w:val="00193254"/>
    <w:rsid w:val="00193F80"/>
    <w:rsid w:val="00194DED"/>
    <w:rsid w:val="0019602D"/>
    <w:rsid w:val="00196032"/>
    <w:rsid w:val="0019651C"/>
    <w:rsid w:val="00197078"/>
    <w:rsid w:val="00197C49"/>
    <w:rsid w:val="001A18A2"/>
    <w:rsid w:val="001A1FE4"/>
    <w:rsid w:val="001A320E"/>
    <w:rsid w:val="001A3690"/>
    <w:rsid w:val="001A37D5"/>
    <w:rsid w:val="001A3E8C"/>
    <w:rsid w:val="001A4E2D"/>
    <w:rsid w:val="001A5C7D"/>
    <w:rsid w:val="001A64D6"/>
    <w:rsid w:val="001A6971"/>
    <w:rsid w:val="001A74B2"/>
    <w:rsid w:val="001B14FD"/>
    <w:rsid w:val="001B23C1"/>
    <w:rsid w:val="001B2FAF"/>
    <w:rsid w:val="001B3229"/>
    <w:rsid w:val="001B43EA"/>
    <w:rsid w:val="001B726A"/>
    <w:rsid w:val="001C00C7"/>
    <w:rsid w:val="001C0203"/>
    <w:rsid w:val="001C0302"/>
    <w:rsid w:val="001C14C1"/>
    <w:rsid w:val="001C2738"/>
    <w:rsid w:val="001C7C99"/>
    <w:rsid w:val="001C7DDD"/>
    <w:rsid w:val="001D0AB8"/>
    <w:rsid w:val="001D29B9"/>
    <w:rsid w:val="001D3452"/>
    <w:rsid w:val="001D4124"/>
    <w:rsid w:val="001D658B"/>
    <w:rsid w:val="001E08B0"/>
    <w:rsid w:val="001E18E0"/>
    <w:rsid w:val="001E1A23"/>
    <w:rsid w:val="001E20DF"/>
    <w:rsid w:val="001E257E"/>
    <w:rsid w:val="001E4420"/>
    <w:rsid w:val="001E461F"/>
    <w:rsid w:val="001E5318"/>
    <w:rsid w:val="001F0A7C"/>
    <w:rsid w:val="001F12FF"/>
    <w:rsid w:val="001F190D"/>
    <w:rsid w:val="001F58A2"/>
    <w:rsid w:val="001F7C63"/>
    <w:rsid w:val="002010C8"/>
    <w:rsid w:val="00202F37"/>
    <w:rsid w:val="00203C8E"/>
    <w:rsid w:val="00205BE1"/>
    <w:rsid w:val="00206741"/>
    <w:rsid w:val="002071D5"/>
    <w:rsid w:val="002078DB"/>
    <w:rsid w:val="0021045C"/>
    <w:rsid w:val="00211C7F"/>
    <w:rsid w:val="00212BCB"/>
    <w:rsid w:val="00212FE1"/>
    <w:rsid w:val="00213894"/>
    <w:rsid w:val="00213C99"/>
    <w:rsid w:val="002175E1"/>
    <w:rsid w:val="0022134E"/>
    <w:rsid w:val="002215AB"/>
    <w:rsid w:val="00221E68"/>
    <w:rsid w:val="002240F3"/>
    <w:rsid w:val="002246F7"/>
    <w:rsid w:val="00225E57"/>
    <w:rsid w:val="002263B3"/>
    <w:rsid w:val="00227CC7"/>
    <w:rsid w:val="00231CD2"/>
    <w:rsid w:val="002332A4"/>
    <w:rsid w:val="0023517B"/>
    <w:rsid w:val="0024075D"/>
    <w:rsid w:val="002439A4"/>
    <w:rsid w:val="00243BE0"/>
    <w:rsid w:val="002446A2"/>
    <w:rsid w:val="00246E12"/>
    <w:rsid w:val="0024790A"/>
    <w:rsid w:val="0025157D"/>
    <w:rsid w:val="0025441C"/>
    <w:rsid w:val="00254B9E"/>
    <w:rsid w:val="00257966"/>
    <w:rsid w:val="00260D3C"/>
    <w:rsid w:val="00263F45"/>
    <w:rsid w:val="00264CE5"/>
    <w:rsid w:val="00265003"/>
    <w:rsid w:val="00267ED1"/>
    <w:rsid w:val="00270F81"/>
    <w:rsid w:val="002710E3"/>
    <w:rsid w:val="00271340"/>
    <w:rsid w:val="0027156A"/>
    <w:rsid w:val="002723D9"/>
    <w:rsid w:val="002747D5"/>
    <w:rsid w:val="00275DC7"/>
    <w:rsid w:val="00277DC3"/>
    <w:rsid w:val="002802D9"/>
    <w:rsid w:val="00280A10"/>
    <w:rsid w:val="002811C1"/>
    <w:rsid w:val="0028135B"/>
    <w:rsid w:val="0028250B"/>
    <w:rsid w:val="00282F95"/>
    <w:rsid w:val="00283075"/>
    <w:rsid w:val="0028439B"/>
    <w:rsid w:val="002869CE"/>
    <w:rsid w:val="0028716F"/>
    <w:rsid w:val="002873E3"/>
    <w:rsid w:val="002877F4"/>
    <w:rsid w:val="00293447"/>
    <w:rsid w:val="002952EC"/>
    <w:rsid w:val="002954F9"/>
    <w:rsid w:val="00295976"/>
    <w:rsid w:val="002A1228"/>
    <w:rsid w:val="002A39A6"/>
    <w:rsid w:val="002A4539"/>
    <w:rsid w:val="002A6B7C"/>
    <w:rsid w:val="002A7289"/>
    <w:rsid w:val="002B1962"/>
    <w:rsid w:val="002B1A1C"/>
    <w:rsid w:val="002B2F96"/>
    <w:rsid w:val="002B3976"/>
    <w:rsid w:val="002B4597"/>
    <w:rsid w:val="002B64BA"/>
    <w:rsid w:val="002B6528"/>
    <w:rsid w:val="002B6725"/>
    <w:rsid w:val="002C08FD"/>
    <w:rsid w:val="002C21C5"/>
    <w:rsid w:val="002C256A"/>
    <w:rsid w:val="002C3EFC"/>
    <w:rsid w:val="002C7320"/>
    <w:rsid w:val="002D0B3E"/>
    <w:rsid w:val="002D0E17"/>
    <w:rsid w:val="002D4AE8"/>
    <w:rsid w:val="002D5154"/>
    <w:rsid w:val="002D69F9"/>
    <w:rsid w:val="002E0546"/>
    <w:rsid w:val="002E1237"/>
    <w:rsid w:val="002E56E8"/>
    <w:rsid w:val="002E575F"/>
    <w:rsid w:val="002E6E25"/>
    <w:rsid w:val="002E79FF"/>
    <w:rsid w:val="002F11EC"/>
    <w:rsid w:val="002F273D"/>
    <w:rsid w:val="002F34D5"/>
    <w:rsid w:val="002F6552"/>
    <w:rsid w:val="002F6A1D"/>
    <w:rsid w:val="00303681"/>
    <w:rsid w:val="00304023"/>
    <w:rsid w:val="0030460D"/>
    <w:rsid w:val="00305F81"/>
    <w:rsid w:val="00306378"/>
    <w:rsid w:val="003065D0"/>
    <w:rsid w:val="00306840"/>
    <w:rsid w:val="0031071A"/>
    <w:rsid w:val="00313B84"/>
    <w:rsid w:val="003161C7"/>
    <w:rsid w:val="0031641B"/>
    <w:rsid w:val="003164D2"/>
    <w:rsid w:val="003179B6"/>
    <w:rsid w:val="00320AC0"/>
    <w:rsid w:val="003236D7"/>
    <w:rsid w:val="00323C70"/>
    <w:rsid w:val="00323E35"/>
    <w:rsid w:val="0032561D"/>
    <w:rsid w:val="00326F05"/>
    <w:rsid w:val="00330489"/>
    <w:rsid w:val="00331EED"/>
    <w:rsid w:val="00333D12"/>
    <w:rsid w:val="00333FAD"/>
    <w:rsid w:val="0033561B"/>
    <w:rsid w:val="0034314D"/>
    <w:rsid w:val="00343675"/>
    <w:rsid w:val="00343C73"/>
    <w:rsid w:val="003464FA"/>
    <w:rsid w:val="00347114"/>
    <w:rsid w:val="00352DA5"/>
    <w:rsid w:val="0035369B"/>
    <w:rsid w:val="003538B0"/>
    <w:rsid w:val="0035651F"/>
    <w:rsid w:val="003571BD"/>
    <w:rsid w:val="003613AF"/>
    <w:rsid w:val="003632FB"/>
    <w:rsid w:val="0036457D"/>
    <w:rsid w:val="00365459"/>
    <w:rsid w:val="00365BD4"/>
    <w:rsid w:val="00367F55"/>
    <w:rsid w:val="003701EA"/>
    <w:rsid w:val="00370963"/>
    <w:rsid w:val="00370B13"/>
    <w:rsid w:val="00370C32"/>
    <w:rsid w:val="00373308"/>
    <w:rsid w:val="003765B0"/>
    <w:rsid w:val="003776ED"/>
    <w:rsid w:val="003779D1"/>
    <w:rsid w:val="003802E2"/>
    <w:rsid w:val="003847FA"/>
    <w:rsid w:val="003855A4"/>
    <w:rsid w:val="0038574D"/>
    <w:rsid w:val="00386404"/>
    <w:rsid w:val="00387ECA"/>
    <w:rsid w:val="0039004E"/>
    <w:rsid w:val="00390057"/>
    <w:rsid w:val="00391B7A"/>
    <w:rsid w:val="0039255B"/>
    <w:rsid w:val="00393D57"/>
    <w:rsid w:val="00394CB3"/>
    <w:rsid w:val="00395F25"/>
    <w:rsid w:val="0039649F"/>
    <w:rsid w:val="00396A70"/>
    <w:rsid w:val="00397684"/>
    <w:rsid w:val="00397FEB"/>
    <w:rsid w:val="003A1CB0"/>
    <w:rsid w:val="003A2808"/>
    <w:rsid w:val="003A3AA1"/>
    <w:rsid w:val="003A3FE2"/>
    <w:rsid w:val="003A44DB"/>
    <w:rsid w:val="003B1056"/>
    <w:rsid w:val="003B1E99"/>
    <w:rsid w:val="003B3388"/>
    <w:rsid w:val="003B5BE4"/>
    <w:rsid w:val="003B7535"/>
    <w:rsid w:val="003B7705"/>
    <w:rsid w:val="003C2767"/>
    <w:rsid w:val="003C373F"/>
    <w:rsid w:val="003C3C3E"/>
    <w:rsid w:val="003C4A33"/>
    <w:rsid w:val="003D6513"/>
    <w:rsid w:val="003D7817"/>
    <w:rsid w:val="003E179A"/>
    <w:rsid w:val="003E2BAF"/>
    <w:rsid w:val="003E3538"/>
    <w:rsid w:val="003E4AE1"/>
    <w:rsid w:val="003E662C"/>
    <w:rsid w:val="003E6D9A"/>
    <w:rsid w:val="003F2A42"/>
    <w:rsid w:val="003F2D4B"/>
    <w:rsid w:val="003F36C9"/>
    <w:rsid w:val="003F4C20"/>
    <w:rsid w:val="003F7E7E"/>
    <w:rsid w:val="004009E4"/>
    <w:rsid w:val="004015D3"/>
    <w:rsid w:val="004029A9"/>
    <w:rsid w:val="0040335C"/>
    <w:rsid w:val="00404391"/>
    <w:rsid w:val="00410476"/>
    <w:rsid w:val="00410BBC"/>
    <w:rsid w:val="00411D32"/>
    <w:rsid w:val="00412622"/>
    <w:rsid w:val="00412DAD"/>
    <w:rsid w:val="004155E1"/>
    <w:rsid w:val="00416559"/>
    <w:rsid w:val="004165F1"/>
    <w:rsid w:val="004169A0"/>
    <w:rsid w:val="00416D2F"/>
    <w:rsid w:val="00416ED3"/>
    <w:rsid w:val="00417BC0"/>
    <w:rsid w:val="0042043F"/>
    <w:rsid w:val="00420886"/>
    <w:rsid w:val="00421323"/>
    <w:rsid w:val="004216E2"/>
    <w:rsid w:val="00422648"/>
    <w:rsid w:val="00423044"/>
    <w:rsid w:val="004237DC"/>
    <w:rsid w:val="0042452D"/>
    <w:rsid w:val="0042505B"/>
    <w:rsid w:val="0042753F"/>
    <w:rsid w:val="00430965"/>
    <w:rsid w:val="0043128A"/>
    <w:rsid w:val="0043433F"/>
    <w:rsid w:val="004349B6"/>
    <w:rsid w:val="00436AB1"/>
    <w:rsid w:val="004373FE"/>
    <w:rsid w:val="00437D66"/>
    <w:rsid w:val="00437FF8"/>
    <w:rsid w:val="00440000"/>
    <w:rsid w:val="00441C90"/>
    <w:rsid w:val="00442080"/>
    <w:rsid w:val="0044227B"/>
    <w:rsid w:val="004426DE"/>
    <w:rsid w:val="0044327D"/>
    <w:rsid w:val="00445195"/>
    <w:rsid w:val="004460A4"/>
    <w:rsid w:val="0044671B"/>
    <w:rsid w:val="00447401"/>
    <w:rsid w:val="00451574"/>
    <w:rsid w:val="00451D9B"/>
    <w:rsid w:val="004555B0"/>
    <w:rsid w:val="00455C5F"/>
    <w:rsid w:val="004614D0"/>
    <w:rsid w:val="00463808"/>
    <w:rsid w:val="00463CCE"/>
    <w:rsid w:val="0046417B"/>
    <w:rsid w:val="00464461"/>
    <w:rsid w:val="00465FDE"/>
    <w:rsid w:val="00466567"/>
    <w:rsid w:val="00466FC0"/>
    <w:rsid w:val="00471706"/>
    <w:rsid w:val="0047247B"/>
    <w:rsid w:val="004773F3"/>
    <w:rsid w:val="00477C48"/>
    <w:rsid w:val="0048105A"/>
    <w:rsid w:val="00481E1A"/>
    <w:rsid w:val="004830D4"/>
    <w:rsid w:val="004854D6"/>
    <w:rsid w:val="00485C08"/>
    <w:rsid w:val="00486920"/>
    <w:rsid w:val="00486BA1"/>
    <w:rsid w:val="004873BC"/>
    <w:rsid w:val="00487B9D"/>
    <w:rsid w:val="00490BD0"/>
    <w:rsid w:val="0049281A"/>
    <w:rsid w:val="00492EF8"/>
    <w:rsid w:val="0049352E"/>
    <w:rsid w:val="004947DE"/>
    <w:rsid w:val="00494B06"/>
    <w:rsid w:val="004977EA"/>
    <w:rsid w:val="00497E0A"/>
    <w:rsid w:val="004A1773"/>
    <w:rsid w:val="004A1B3D"/>
    <w:rsid w:val="004A393B"/>
    <w:rsid w:val="004A3D2A"/>
    <w:rsid w:val="004A3E61"/>
    <w:rsid w:val="004A4338"/>
    <w:rsid w:val="004A4E16"/>
    <w:rsid w:val="004A5FFC"/>
    <w:rsid w:val="004A6648"/>
    <w:rsid w:val="004A6980"/>
    <w:rsid w:val="004A73F3"/>
    <w:rsid w:val="004A77E8"/>
    <w:rsid w:val="004B03FF"/>
    <w:rsid w:val="004B20EB"/>
    <w:rsid w:val="004B31AB"/>
    <w:rsid w:val="004B362B"/>
    <w:rsid w:val="004B7EE8"/>
    <w:rsid w:val="004C18E1"/>
    <w:rsid w:val="004C2317"/>
    <w:rsid w:val="004C253D"/>
    <w:rsid w:val="004C759E"/>
    <w:rsid w:val="004D25BC"/>
    <w:rsid w:val="004D4901"/>
    <w:rsid w:val="004D70FE"/>
    <w:rsid w:val="004D7C9C"/>
    <w:rsid w:val="004E003C"/>
    <w:rsid w:val="004E1652"/>
    <w:rsid w:val="004E3160"/>
    <w:rsid w:val="004E352C"/>
    <w:rsid w:val="004E3809"/>
    <w:rsid w:val="004E3C9A"/>
    <w:rsid w:val="004E653D"/>
    <w:rsid w:val="004E735E"/>
    <w:rsid w:val="004F0F41"/>
    <w:rsid w:val="004F1AE2"/>
    <w:rsid w:val="004F51C5"/>
    <w:rsid w:val="004F61E5"/>
    <w:rsid w:val="00501D84"/>
    <w:rsid w:val="00501E41"/>
    <w:rsid w:val="0050294B"/>
    <w:rsid w:val="0050294E"/>
    <w:rsid w:val="00502FE4"/>
    <w:rsid w:val="00510E7B"/>
    <w:rsid w:val="00511014"/>
    <w:rsid w:val="005115C7"/>
    <w:rsid w:val="00513778"/>
    <w:rsid w:val="0051462D"/>
    <w:rsid w:val="005156C5"/>
    <w:rsid w:val="00516A81"/>
    <w:rsid w:val="00516AF0"/>
    <w:rsid w:val="005230BC"/>
    <w:rsid w:val="005321F5"/>
    <w:rsid w:val="00533300"/>
    <w:rsid w:val="00534EAB"/>
    <w:rsid w:val="005350A6"/>
    <w:rsid w:val="00535283"/>
    <w:rsid w:val="00535D0E"/>
    <w:rsid w:val="00536151"/>
    <w:rsid w:val="005362A5"/>
    <w:rsid w:val="005373CB"/>
    <w:rsid w:val="00541254"/>
    <w:rsid w:val="005417C7"/>
    <w:rsid w:val="00542B0B"/>
    <w:rsid w:val="00543A56"/>
    <w:rsid w:val="005450AE"/>
    <w:rsid w:val="005450C1"/>
    <w:rsid w:val="00545196"/>
    <w:rsid w:val="00545AD5"/>
    <w:rsid w:val="00545AE0"/>
    <w:rsid w:val="00546509"/>
    <w:rsid w:val="00546FFE"/>
    <w:rsid w:val="005500CE"/>
    <w:rsid w:val="00550A22"/>
    <w:rsid w:val="00550EF7"/>
    <w:rsid w:val="0055117B"/>
    <w:rsid w:val="005520C6"/>
    <w:rsid w:val="00552D8A"/>
    <w:rsid w:val="00554164"/>
    <w:rsid w:val="0055538B"/>
    <w:rsid w:val="00555CBF"/>
    <w:rsid w:val="00557703"/>
    <w:rsid w:val="0056149F"/>
    <w:rsid w:val="0056293F"/>
    <w:rsid w:val="005652AF"/>
    <w:rsid w:val="00565945"/>
    <w:rsid w:val="00565AAE"/>
    <w:rsid w:val="00565C60"/>
    <w:rsid w:val="00566124"/>
    <w:rsid w:val="00566995"/>
    <w:rsid w:val="00567040"/>
    <w:rsid w:val="00571EBA"/>
    <w:rsid w:val="005720F0"/>
    <w:rsid w:val="005737D0"/>
    <w:rsid w:val="00573B8D"/>
    <w:rsid w:val="00575542"/>
    <w:rsid w:val="00575E33"/>
    <w:rsid w:val="005779F1"/>
    <w:rsid w:val="0058051B"/>
    <w:rsid w:val="00580885"/>
    <w:rsid w:val="00580C36"/>
    <w:rsid w:val="005819FC"/>
    <w:rsid w:val="00583552"/>
    <w:rsid w:val="00583571"/>
    <w:rsid w:val="00583D11"/>
    <w:rsid w:val="0058403F"/>
    <w:rsid w:val="00585D39"/>
    <w:rsid w:val="00586990"/>
    <w:rsid w:val="005872A9"/>
    <w:rsid w:val="005873A6"/>
    <w:rsid w:val="00591516"/>
    <w:rsid w:val="005919CA"/>
    <w:rsid w:val="00592461"/>
    <w:rsid w:val="00592833"/>
    <w:rsid w:val="0059592E"/>
    <w:rsid w:val="00595D4A"/>
    <w:rsid w:val="00596488"/>
    <w:rsid w:val="00597BC0"/>
    <w:rsid w:val="005A1E89"/>
    <w:rsid w:val="005A4917"/>
    <w:rsid w:val="005A52D5"/>
    <w:rsid w:val="005A53BF"/>
    <w:rsid w:val="005A5EB0"/>
    <w:rsid w:val="005B03C4"/>
    <w:rsid w:val="005B17EF"/>
    <w:rsid w:val="005B1BBD"/>
    <w:rsid w:val="005B3A51"/>
    <w:rsid w:val="005B4E1B"/>
    <w:rsid w:val="005B57EF"/>
    <w:rsid w:val="005B5821"/>
    <w:rsid w:val="005B5EB9"/>
    <w:rsid w:val="005B6E34"/>
    <w:rsid w:val="005C0636"/>
    <w:rsid w:val="005C453A"/>
    <w:rsid w:val="005C49BC"/>
    <w:rsid w:val="005C5804"/>
    <w:rsid w:val="005D148D"/>
    <w:rsid w:val="005D26B7"/>
    <w:rsid w:val="005D36DD"/>
    <w:rsid w:val="005D3F0E"/>
    <w:rsid w:val="005D4940"/>
    <w:rsid w:val="005E1303"/>
    <w:rsid w:val="005E1308"/>
    <w:rsid w:val="005E1D31"/>
    <w:rsid w:val="005E591A"/>
    <w:rsid w:val="005F0574"/>
    <w:rsid w:val="005F0E72"/>
    <w:rsid w:val="005F237F"/>
    <w:rsid w:val="005F281F"/>
    <w:rsid w:val="005F32B7"/>
    <w:rsid w:val="005F3E25"/>
    <w:rsid w:val="005F4E95"/>
    <w:rsid w:val="006009A3"/>
    <w:rsid w:val="0060121D"/>
    <w:rsid w:val="006055A2"/>
    <w:rsid w:val="0061080A"/>
    <w:rsid w:val="0061120A"/>
    <w:rsid w:val="00612099"/>
    <w:rsid w:val="00613321"/>
    <w:rsid w:val="00614E4B"/>
    <w:rsid w:val="0061794A"/>
    <w:rsid w:val="00617BAA"/>
    <w:rsid w:val="00620D1A"/>
    <w:rsid w:val="00621E11"/>
    <w:rsid w:val="00621F28"/>
    <w:rsid w:val="00622FC0"/>
    <w:rsid w:val="006230FE"/>
    <w:rsid w:val="006234CC"/>
    <w:rsid w:val="00625393"/>
    <w:rsid w:val="00627271"/>
    <w:rsid w:val="00627C93"/>
    <w:rsid w:val="00627EFB"/>
    <w:rsid w:val="0063058E"/>
    <w:rsid w:val="00630F97"/>
    <w:rsid w:val="00631759"/>
    <w:rsid w:val="006332B8"/>
    <w:rsid w:val="0063333C"/>
    <w:rsid w:val="00633376"/>
    <w:rsid w:val="0063367E"/>
    <w:rsid w:val="00633F7A"/>
    <w:rsid w:val="00640996"/>
    <w:rsid w:val="00640CD8"/>
    <w:rsid w:val="006414D3"/>
    <w:rsid w:val="00642039"/>
    <w:rsid w:val="00643973"/>
    <w:rsid w:val="00643ECA"/>
    <w:rsid w:val="00643F08"/>
    <w:rsid w:val="0064682F"/>
    <w:rsid w:val="006469F5"/>
    <w:rsid w:val="00647929"/>
    <w:rsid w:val="006515BE"/>
    <w:rsid w:val="00651C9E"/>
    <w:rsid w:val="00652AC3"/>
    <w:rsid w:val="00653B0C"/>
    <w:rsid w:val="006545C5"/>
    <w:rsid w:val="006552CA"/>
    <w:rsid w:val="0065642F"/>
    <w:rsid w:val="00656A22"/>
    <w:rsid w:val="006579A1"/>
    <w:rsid w:val="00662008"/>
    <w:rsid w:val="0066312E"/>
    <w:rsid w:val="00663803"/>
    <w:rsid w:val="00663D16"/>
    <w:rsid w:val="0066520E"/>
    <w:rsid w:val="0066727E"/>
    <w:rsid w:val="006678D3"/>
    <w:rsid w:val="006700AD"/>
    <w:rsid w:val="006706E4"/>
    <w:rsid w:val="00670836"/>
    <w:rsid w:val="006728E1"/>
    <w:rsid w:val="00673447"/>
    <w:rsid w:val="006741DC"/>
    <w:rsid w:val="00674C3B"/>
    <w:rsid w:val="00675909"/>
    <w:rsid w:val="00675D3D"/>
    <w:rsid w:val="00677568"/>
    <w:rsid w:val="0068164C"/>
    <w:rsid w:val="00681DBE"/>
    <w:rsid w:val="006827F1"/>
    <w:rsid w:val="00683091"/>
    <w:rsid w:val="00683323"/>
    <w:rsid w:val="0068684A"/>
    <w:rsid w:val="006907F1"/>
    <w:rsid w:val="00693573"/>
    <w:rsid w:val="00694C6E"/>
    <w:rsid w:val="00696321"/>
    <w:rsid w:val="0069759F"/>
    <w:rsid w:val="00697957"/>
    <w:rsid w:val="006A0C76"/>
    <w:rsid w:val="006A1D59"/>
    <w:rsid w:val="006A2EFD"/>
    <w:rsid w:val="006A3DB1"/>
    <w:rsid w:val="006A3F78"/>
    <w:rsid w:val="006A4AA5"/>
    <w:rsid w:val="006A51C5"/>
    <w:rsid w:val="006A5988"/>
    <w:rsid w:val="006A698C"/>
    <w:rsid w:val="006B0314"/>
    <w:rsid w:val="006B0856"/>
    <w:rsid w:val="006B360E"/>
    <w:rsid w:val="006B55AC"/>
    <w:rsid w:val="006B5FBB"/>
    <w:rsid w:val="006B7457"/>
    <w:rsid w:val="006B78F7"/>
    <w:rsid w:val="006C11DC"/>
    <w:rsid w:val="006C137F"/>
    <w:rsid w:val="006C24F1"/>
    <w:rsid w:val="006C2C71"/>
    <w:rsid w:val="006C4039"/>
    <w:rsid w:val="006C4B43"/>
    <w:rsid w:val="006C7242"/>
    <w:rsid w:val="006D03FF"/>
    <w:rsid w:val="006D0A31"/>
    <w:rsid w:val="006D3084"/>
    <w:rsid w:val="006E0728"/>
    <w:rsid w:val="006E3319"/>
    <w:rsid w:val="006E53BB"/>
    <w:rsid w:val="006E586F"/>
    <w:rsid w:val="006E6048"/>
    <w:rsid w:val="006E6CAE"/>
    <w:rsid w:val="006E798F"/>
    <w:rsid w:val="006F1841"/>
    <w:rsid w:val="006F1CDC"/>
    <w:rsid w:val="006F1D4E"/>
    <w:rsid w:val="006F24DB"/>
    <w:rsid w:val="006F4B4B"/>
    <w:rsid w:val="006F576F"/>
    <w:rsid w:val="006F668F"/>
    <w:rsid w:val="006F7842"/>
    <w:rsid w:val="006F7D66"/>
    <w:rsid w:val="00703454"/>
    <w:rsid w:val="00703ED5"/>
    <w:rsid w:val="0070493D"/>
    <w:rsid w:val="00705003"/>
    <w:rsid w:val="00705F2D"/>
    <w:rsid w:val="0070696E"/>
    <w:rsid w:val="007110DF"/>
    <w:rsid w:val="0071149F"/>
    <w:rsid w:val="00715C54"/>
    <w:rsid w:val="0071723E"/>
    <w:rsid w:val="00720592"/>
    <w:rsid w:val="007221C2"/>
    <w:rsid w:val="00723CE1"/>
    <w:rsid w:val="00723F1D"/>
    <w:rsid w:val="00724DCE"/>
    <w:rsid w:val="0072690F"/>
    <w:rsid w:val="00730BA2"/>
    <w:rsid w:val="00730EB9"/>
    <w:rsid w:val="00733BCF"/>
    <w:rsid w:val="00735719"/>
    <w:rsid w:val="007358AB"/>
    <w:rsid w:val="00735C68"/>
    <w:rsid w:val="00736211"/>
    <w:rsid w:val="00736C63"/>
    <w:rsid w:val="007379C4"/>
    <w:rsid w:val="00740F0F"/>
    <w:rsid w:val="0074296B"/>
    <w:rsid w:val="0074409E"/>
    <w:rsid w:val="0074585F"/>
    <w:rsid w:val="00746528"/>
    <w:rsid w:val="00747B69"/>
    <w:rsid w:val="0075046E"/>
    <w:rsid w:val="00751BA7"/>
    <w:rsid w:val="00752B0C"/>
    <w:rsid w:val="007543B6"/>
    <w:rsid w:val="0075572C"/>
    <w:rsid w:val="007572A9"/>
    <w:rsid w:val="00761588"/>
    <w:rsid w:val="00761E93"/>
    <w:rsid w:val="00762B71"/>
    <w:rsid w:val="00762D97"/>
    <w:rsid w:val="007654D5"/>
    <w:rsid w:val="00767ECC"/>
    <w:rsid w:val="00770C4F"/>
    <w:rsid w:val="00770ED4"/>
    <w:rsid w:val="0078113E"/>
    <w:rsid w:val="00782A13"/>
    <w:rsid w:val="0078305F"/>
    <w:rsid w:val="0078362A"/>
    <w:rsid w:val="00786D5B"/>
    <w:rsid w:val="00786D8F"/>
    <w:rsid w:val="00787566"/>
    <w:rsid w:val="0079007A"/>
    <w:rsid w:val="0079066E"/>
    <w:rsid w:val="00792914"/>
    <w:rsid w:val="0079417C"/>
    <w:rsid w:val="00795D09"/>
    <w:rsid w:val="00796086"/>
    <w:rsid w:val="007A25E8"/>
    <w:rsid w:val="007A3A05"/>
    <w:rsid w:val="007B18DF"/>
    <w:rsid w:val="007B48AB"/>
    <w:rsid w:val="007B51F1"/>
    <w:rsid w:val="007B79D0"/>
    <w:rsid w:val="007C0139"/>
    <w:rsid w:val="007C2DCB"/>
    <w:rsid w:val="007C2FE9"/>
    <w:rsid w:val="007C3BE8"/>
    <w:rsid w:val="007C4DC0"/>
    <w:rsid w:val="007C5860"/>
    <w:rsid w:val="007D02BB"/>
    <w:rsid w:val="007D0719"/>
    <w:rsid w:val="007D196A"/>
    <w:rsid w:val="007D2685"/>
    <w:rsid w:val="007D3777"/>
    <w:rsid w:val="007D455F"/>
    <w:rsid w:val="007D4937"/>
    <w:rsid w:val="007D5510"/>
    <w:rsid w:val="007D7882"/>
    <w:rsid w:val="007E061B"/>
    <w:rsid w:val="007E1A40"/>
    <w:rsid w:val="007E2DE2"/>
    <w:rsid w:val="007E3E63"/>
    <w:rsid w:val="007E46F8"/>
    <w:rsid w:val="007E7554"/>
    <w:rsid w:val="007E7727"/>
    <w:rsid w:val="007F1440"/>
    <w:rsid w:val="007F2035"/>
    <w:rsid w:val="007F206C"/>
    <w:rsid w:val="0080094E"/>
    <w:rsid w:val="00802C93"/>
    <w:rsid w:val="008033F6"/>
    <w:rsid w:val="00803562"/>
    <w:rsid w:val="008035D5"/>
    <w:rsid w:val="00804F19"/>
    <w:rsid w:val="00806697"/>
    <w:rsid w:val="0080746F"/>
    <w:rsid w:val="00807552"/>
    <w:rsid w:val="008104AD"/>
    <w:rsid w:val="008110D3"/>
    <w:rsid w:val="00812E41"/>
    <w:rsid w:val="00813817"/>
    <w:rsid w:val="00813F9C"/>
    <w:rsid w:val="00813FE6"/>
    <w:rsid w:val="008140D0"/>
    <w:rsid w:val="00814E52"/>
    <w:rsid w:val="00815DE9"/>
    <w:rsid w:val="0081713D"/>
    <w:rsid w:val="00820757"/>
    <w:rsid w:val="00820A5B"/>
    <w:rsid w:val="00820B70"/>
    <w:rsid w:val="00821CEA"/>
    <w:rsid w:val="00823030"/>
    <w:rsid w:val="00826C50"/>
    <w:rsid w:val="00830179"/>
    <w:rsid w:val="00830EF4"/>
    <w:rsid w:val="008335F9"/>
    <w:rsid w:val="0083541B"/>
    <w:rsid w:val="00836092"/>
    <w:rsid w:val="008375BD"/>
    <w:rsid w:val="00837D9E"/>
    <w:rsid w:val="008412B0"/>
    <w:rsid w:val="00841385"/>
    <w:rsid w:val="00841F04"/>
    <w:rsid w:val="0084588C"/>
    <w:rsid w:val="00845B23"/>
    <w:rsid w:val="00845FF0"/>
    <w:rsid w:val="00846728"/>
    <w:rsid w:val="00846D06"/>
    <w:rsid w:val="008504BD"/>
    <w:rsid w:val="00853471"/>
    <w:rsid w:val="00853664"/>
    <w:rsid w:val="008568CB"/>
    <w:rsid w:val="008612D0"/>
    <w:rsid w:val="0086223F"/>
    <w:rsid w:val="00862CE5"/>
    <w:rsid w:val="008641D2"/>
    <w:rsid w:val="0086457E"/>
    <w:rsid w:val="0086496E"/>
    <w:rsid w:val="00864E80"/>
    <w:rsid w:val="008663D9"/>
    <w:rsid w:val="00867433"/>
    <w:rsid w:val="008717CF"/>
    <w:rsid w:val="008726B5"/>
    <w:rsid w:val="00872E40"/>
    <w:rsid w:val="00873A1C"/>
    <w:rsid w:val="00874977"/>
    <w:rsid w:val="0087637C"/>
    <w:rsid w:val="00876C3A"/>
    <w:rsid w:val="00876F71"/>
    <w:rsid w:val="00876FC6"/>
    <w:rsid w:val="008811CA"/>
    <w:rsid w:val="008828D1"/>
    <w:rsid w:val="00882CCB"/>
    <w:rsid w:val="0088459B"/>
    <w:rsid w:val="00885066"/>
    <w:rsid w:val="008853C0"/>
    <w:rsid w:val="00886393"/>
    <w:rsid w:val="00886690"/>
    <w:rsid w:val="00886E74"/>
    <w:rsid w:val="008872ED"/>
    <w:rsid w:val="00892DAF"/>
    <w:rsid w:val="0089387A"/>
    <w:rsid w:val="00894749"/>
    <w:rsid w:val="008949C3"/>
    <w:rsid w:val="008A1676"/>
    <w:rsid w:val="008A1B0A"/>
    <w:rsid w:val="008A20A8"/>
    <w:rsid w:val="008A2924"/>
    <w:rsid w:val="008A2A48"/>
    <w:rsid w:val="008A3EE0"/>
    <w:rsid w:val="008A667E"/>
    <w:rsid w:val="008A7984"/>
    <w:rsid w:val="008B01D3"/>
    <w:rsid w:val="008B160E"/>
    <w:rsid w:val="008B2143"/>
    <w:rsid w:val="008B23D4"/>
    <w:rsid w:val="008B4CF2"/>
    <w:rsid w:val="008B523A"/>
    <w:rsid w:val="008B5AEA"/>
    <w:rsid w:val="008B65FB"/>
    <w:rsid w:val="008B6D21"/>
    <w:rsid w:val="008B6DB4"/>
    <w:rsid w:val="008B72B3"/>
    <w:rsid w:val="008B76D1"/>
    <w:rsid w:val="008C3DF0"/>
    <w:rsid w:val="008D0BD9"/>
    <w:rsid w:val="008E0212"/>
    <w:rsid w:val="008E080D"/>
    <w:rsid w:val="008E1A22"/>
    <w:rsid w:val="008E336A"/>
    <w:rsid w:val="008E4357"/>
    <w:rsid w:val="008E4B97"/>
    <w:rsid w:val="008E5A19"/>
    <w:rsid w:val="008E5C18"/>
    <w:rsid w:val="008E6456"/>
    <w:rsid w:val="008E7875"/>
    <w:rsid w:val="008F0C92"/>
    <w:rsid w:val="008F3EA4"/>
    <w:rsid w:val="008F3F25"/>
    <w:rsid w:val="008F42D3"/>
    <w:rsid w:val="008F5A33"/>
    <w:rsid w:val="00900EC1"/>
    <w:rsid w:val="00900F2F"/>
    <w:rsid w:val="009010CD"/>
    <w:rsid w:val="00903557"/>
    <w:rsid w:val="00904C42"/>
    <w:rsid w:val="00905492"/>
    <w:rsid w:val="00907C55"/>
    <w:rsid w:val="00907CF3"/>
    <w:rsid w:val="00907F87"/>
    <w:rsid w:val="00911D75"/>
    <w:rsid w:val="00911ECA"/>
    <w:rsid w:val="00912AA7"/>
    <w:rsid w:val="00912D43"/>
    <w:rsid w:val="00912F3B"/>
    <w:rsid w:val="00914952"/>
    <w:rsid w:val="00914DA9"/>
    <w:rsid w:val="00915FD3"/>
    <w:rsid w:val="0091617B"/>
    <w:rsid w:val="00916340"/>
    <w:rsid w:val="00916AAA"/>
    <w:rsid w:val="00920452"/>
    <w:rsid w:val="009205E9"/>
    <w:rsid w:val="00920972"/>
    <w:rsid w:val="00920A17"/>
    <w:rsid w:val="00921370"/>
    <w:rsid w:val="00921DD3"/>
    <w:rsid w:val="0092317C"/>
    <w:rsid w:val="0092325A"/>
    <w:rsid w:val="00924420"/>
    <w:rsid w:val="00925834"/>
    <w:rsid w:val="00925F18"/>
    <w:rsid w:val="009266A7"/>
    <w:rsid w:val="00926C2D"/>
    <w:rsid w:val="009329CC"/>
    <w:rsid w:val="009343D9"/>
    <w:rsid w:val="00935D6C"/>
    <w:rsid w:val="00936F29"/>
    <w:rsid w:val="009379C6"/>
    <w:rsid w:val="00940117"/>
    <w:rsid w:val="009408AC"/>
    <w:rsid w:val="00940E92"/>
    <w:rsid w:val="009439BB"/>
    <w:rsid w:val="009440E4"/>
    <w:rsid w:val="009455C2"/>
    <w:rsid w:val="00945DF3"/>
    <w:rsid w:val="00946EFC"/>
    <w:rsid w:val="009470EC"/>
    <w:rsid w:val="00947683"/>
    <w:rsid w:val="00951779"/>
    <w:rsid w:val="00953988"/>
    <w:rsid w:val="00953B7F"/>
    <w:rsid w:val="0095471E"/>
    <w:rsid w:val="00955B37"/>
    <w:rsid w:val="0095699C"/>
    <w:rsid w:val="0095762F"/>
    <w:rsid w:val="00961D02"/>
    <w:rsid w:val="00962374"/>
    <w:rsid w:val="0096410D"/>
    <w:rsid w:val="009644EE"/>
    <w:rsid w:val="00964F9B"/>
    <w:rsid w:val="0096523C"/>
    <w:rsid w:val="009658A2"/>
    <w:rsid w:val="00966B94"/>
    <w:rsid w:val="00971D4D"/>
    <w:rsid w:val="009753C7"/>
    <w:rsid w:val="00976DDC"/>
    <w:rsid w:val="00977679"/>
    <w:rsid w:val="00980FD0"/>
    <w:rsid w:val="0098253C"/>
    <w:rsid w:val="00983752"/>
    <w:rsid w:val="00984DA3"/>
    <w:rsid w:val="00991DF9"/>
    <w:rsid w:val="00992574"/>
    <w:rsid w:val="00992ACE"/>
    <w:rsid w:val="00993E99"/>
    <w:rsid w:val="00994073"/>
    <w:rsid w:val="00995389"/>
    <w:rsid w:val="00995BBA"/>
    <w:rsid w:val="0099755C"/>
    <w:rsid w:val="009A08E1"/>
    <w:rsid w:val="009A118A"/>
    <w:rsid w:val="009A31F3"/>
    <w:rsid w:val="009A3939"/>
    <w:rsid w:val="009A3A92"/>
    <w:rsid w:val="009A3E57"/>
    <w:rsid w:val="009A5E41"/>
    <w:rsid w:val="009A5EF4"/>
    <w:rsid w:val="009B0C40"/>
    <w:rsid w:val="009B10F2"/>
    <w:rsid w:val="009B1115"/>
    <w:rsid w:val="009B3F0D"/>
    <w:rsid w:val="009B4680"/>
    <w:rsid w:val="009B47A7"/>
    <w:rsid w:val="009B5C46"/>
    <w:rsid w:val="009B615C"/>
    <w:rsid w:val="009B61F2"/>
    <w:rsid w:val="009B6E76"/>
    <w:rsid w:val="009C1E89"/>
    <w:rsid w:val="009C5FC3"/>
    <w:rsid w:val="009C6A2C"/>
    <w:rsid w:val="009C7B15"/>
    <w:rsid w:val="009D074E"/>
    <w:rsid w:val="009D0FC5"/>
    <w:rsid w:val="009D2B08"/>
    <w:rsid w:val="009D33F8"/>
    <w:rsid w:val="009D4699"/>
    <w:rsid w:val="009D64C7"/>
    <w:rsid w:val="009D6ADB"/>
    <w:rsid w:val="009D7881"/>
    <w:rsid w:val="009D7972"/>
    <w:rsid w:val="009E1711"/>
    <w:rsid w:val="009E18F7"/>
    <w:rsid w:val="009E20F6"/>
    <w:rsid w:val="009E250F"/>
    <w:rsid w:val="009E384C"/>
    <w:rsid w:val="009E4D98"/>
    <w:rsid w:val="009E6944"/>
    <w:rsid w:val="009E79EA"/>
    <w:rsid w:val="009F3476"/>
    <w:rsid w:val="009F7E78"/>
    <w:rsid w:val="00A02E2D"/>
    <w:rsid w:val="00A0548E"/>
    <w:rsid w:val="00A05967"/>
    <w:rsid w:val="00A062D2"/>
    <w:rsid w:val="00A078E5"/>
    <w:rsid w:val="00A10062"/>
    <w:rsid w:val="00A1201C"/>
    <w:rsid w:val="00A12A23"/>
    <w:rsid w:val="00A13D0A"/>
    <w:rsid w:val="00A14F94"/>
    <w:rsid w:val="00A15960"/>
    <w:rsid w:val="00A1639B"/>
    <w:rsid w:val="00A178ED"/>
    <w:rsid w:val="00A20E4B"/>
    <w:rsid w:val="00A21937"/>
    <w:rsid w:val="00A2381F"/>
    <w:rsid w:val="00A258D8"/>
    <w:rsid w:val="00A25B9A"/>
    <w:rsid w:val="00A27C90"/>
    <w:rsid w:val="00A31719"/>
    <w:rsid w:val="00A32F44"/>
    <w:rsid w:val="00A337DF"/>
    <w:rsid w:val="00A338E3"/>
    <w:rsid w:val="00A35DBA"/>
    <w:rsid w:val="00A36BB9"/>
    <w:rsid w:val="00A40351"/>
    <w:rsid w:val="00A4071C"/>
    <w:rsid w:val="00A41878"/>
    <w:rsid w:val="00A43541"/>
    <w:rsid w:val="00A47734"/>
    <w:rsid w:val="00A478F8"/>
    <w:rsid w:val="00A513AD"/>
    <w:rsid w:val="00A526F1"/>
    <w:rsid w:val="00A533C2"/>
    <w:rsid w:val="00A55542"/>
    <w:rsid w:val="00A5588C"/>
    <w:rsid w:val="00A562B4"/>
    <w:rsid w:val="00A57211"/>
    <w:rsid w:val="00A607F3"/>
    <w:rsid w:val="00A6095B"/>
    <w:rsid w:val="00A6110C"/>
    <w:rsid w:val="00A61BC8"/>
    <w:rsid w:val="00A63A44"/>
    <w:rsid w:val="00A668CF"/>
    <w:rsid w:val="00A66D81"/>
    <w:rsid w:val="00A71B0F"/>
    <w:rsid w:val="00A73BD4"/>
    <w:rsid w:val="00A80478"/>
    <w:rsid w:val="00A80990"/>
    <w:rsid w:val="00A814C0"/>
    <w:rsid w:val="00A819CD"/>
    <w:rsid w:val="00A84ED4"/>
    <w:rsid w:val="00A8521A"/>
    <w:rsid w:val="00A90AE2"/>
    <w:rsid w:val="00A90C31"/>
    <w:rsid w:val="00A95468"/>
    <w:rsid w:val="00A96682"/>
    <w:rsid w:val="00A97729"/>
    <w:rsid w:val="00AA0546"/>
    <w:rsid w:val="00AA20BD"/>
    <w:rsid w:val="00AA2CBA"/>
    <w:rsid w:val="00AA3EEE"/>
    <w:rsid w:val="00AA4C0E"/>
    <w:rsid w:val="00AA4E01"/>
    <w:rsid w:val="00AA612A"/>
    <w:rsid w:val="00AA66D3"/>
    <w:rsid w:val="00AA6BCC"/>
    <w:rsid w:val="00AA7CCC"/>
    <w:rsid w:val="00AB0F04"/>
    <w:rsid w:val="00AB1877"/>
    <w:rsid w:val="00AB2295"/>
    <w:rsid w:val="00AB252B"/>
    <w:rsid w:val="00AB2C39"/>
    <w:rsid w:val="00AB2E10"/>
    <w:rsid w:val="00AB31A0"/>
    <w:rsid w:val="00AB3515"/>
    <w:rsid w:val="00AB77AD"/>
    <w:rsid w:val="00AC0E53"/>
    <w:rsid w:val="00AC1B80"/>
    <w:rsid w:val="00AC22C0"/>
    <w:rsid w:val="00AC2CC9"/>
    <w:rsid w:val="00AC3900"/>
    <w:rsid w:val="00AC41F1"/>
    <w:rsid w:val="00AC5CE1"/>
    <w:rsid w:val="00AD321C"/>
    <w:rsid w:val="00AD34C5"/>
    <w:rsid w:val="00AD3975"/>
    <w:rsid w:val="00AD3BE8"/>
    <w:rsid w:val="00AD5D45"/>
    <w:rsid w:val="00AD7344"/>
    <w:rsid w:val="00AE0BFF"/>
    <w:rsid w:val="00AE560F"/>
    <w:rsid w:val="00AE5E9C"/>
    <w:rsid w:val="00AE7146"/>
    <w:rsid w:val="00AE7369"/>
    <w:rsid w:val="00AE7BE6"/>
    <w:rsid w:val="00AF0BED"/>
    <w:rsid w:val="00AF0FD9"/>
    <w:rsid w:val="00AF1986"/>
    <w:rsid w:val="00AF2B06"/>
    <w:rsid w:val="00AF3881"/>
    <w:rsid w:val="00AF38C9"/>
    <w:rsid w:val="00AF4CA3"/>
    <w:rsid w:val="00AF53CF"/>
    <w:rsid w:val="00AF6F10"/>
    <w:rsid w:val="00B00AFB"/>
    <w:rsid w:val="00B02418"/>
    <w:rsid w:val="00B0306E"/>
    <w:rsid w:val="00B03479"/>
    <w:rsid w:val="00B03CE0"/>
    <w:rsid w:val="00B0527C"/>
    <w:rsid w:val="00B059C3"/>
    <w:rsid w:val="00B06A03"/>
    <w:rsid w:val="00B1042E"/>
    <w:rsid w:val="00B10DA6"/>
    <w:rsid w:val="00B12DD5"/>
    <w:rsid w:val="00B13609"/>
    <w:rsid w:val="00B13772"/>
    <w:rsid w:val="00B13E4D"/>
    <w:rsid w:val="00B14FBF"/>
    <w:rsid w:val="00B15074"/>
    <w:rsid w:val="00B178F9"/>
    <w:rsid w:val="00B21CD9"/>
    <w:rsid w:val="00B21F16"/>
    <w:rsid w:val="00B21FD7"/>
    <w:rsid w:val="00B23507"/>
    <w:rsid w:val="00B23660"/>
    <w:rsid w:val="00B245BD"/>
    <w:rsid w:val="00B25515"/>
    <w:rsid w:val="00B25AD4"/>
    <w:rsid w:val="00B272A8"/>
    <w:rsid w:val="00B30957"/>
    <w:rsid w:val="00B339C2"/>
    <w:rsid w:val="00B33E37"/>
    <w:rsid w:val="00B33FD7"/>
    <w:rsid w:val="00B34287"/>
    <w:rsid w:val="00B34EA2"/>
    <w:rsid w:val="00B3669A"/>
    <w:rsid w:val="00B401A9"/>
    <w:rsid w:val="00B41CA8"/>
    <w:rsid w:val="00B423E6"/>
    <w:rsid w:val="00B438F8"/>
    <w:rsid w:val="00B457B6"/>
    <w:rsid w:val="00B46902"/>
    <w:rsid w:val="00B47453"/>
    <w:rsid w:val="00B51003"/>
    <w:rsid w:val="00B51B84"/>
    <w:rsid w:val="00B51ED0"/>
    <w:rsid w:val="00B53F5E"/>
    <w:rsid w:val="00B54A29"/>
    <w:rsid w:val="00B55795"/>
    <w:rsid w:val="00B56C62"/>
    <w:rsid w:val="00B600BB"/>
    <w:rsid w:val="00B622D3"/>
    <w:rsid w:val="00B62ADC"/>
    <w:rsid w:val="00B62E80"/>
    <w:rsid w:val="00B63292"/>
    <w:rsid w:val="00B644E0"/>
    <w:rsid w:val="00B64970"/>
    <w:rsid w:val="00B65E23"/>
    <w:rsid w:val="00B66393"/>
    <w:rsid w:val="00B66A8F"/>
    <w:rsid w:val="00B67140"/>
    <w:rsid w:val="00B67EB9"/>
    <w:rsid w:val="00B7051E"/>
    <w:rsid w:val="00B72538"/>
    <w:rsid w:val="00B74A88"/>
    <w:rsid w:val="00B74CC1"/>
    <w:rsid w:val="00B779C0"/>
    <w:rsid w:val="00B83912"/>
    <w:rsid w:val="00B84598"/>
    <w:rsid w:val="00B86DAD"/>
    <w:rsid w:val="00B876C0"/>
    <w:rsid w:val="00B9124D"/>
    <w:rsid w:val="00B94014"/>
    <w:rsid w:val="00B9536A"/>
    <w:rsid w:val="00B95F0D"/>
    <w:rsid w:val="00B96906"/>
    <w:rsid w:val="00B96BA5"/>
    <w:rsid w:val="00B96D69"/>
    <w:rsid w:val="00B97E2A"/>
    <w:rsid w:val="00BA174B"/>
    <w:rsid w:val="00BA1AC2"/>
    <w:rsid w:val="00BA1F16"/>
    <w:rsid w:val="00BA2F7E"/>
    <w:rsid w:val="00BA4D0D"/>
    <w:rsid w:val="00BB2CBC"/>
    <w:rsid w:val="00BB3DA9"/>
    <w:rsid w:val="00BB4F13"/>
    <w:rsid w:val="00BB5C32"/>
    <w:rsid w:val="00BC00CD"/>
    <w:rsid w:val="00BC1758"/>
    <w:rsid w:val="00BC18C4"/>
    <w:rsid w:val="00BC1DF0"/>
    <w:rsid w:val="00BC336F"/>
    <w:rsid w:val="00BC3E34"/>
    <w:rsid w:val="00BC47C7"/>
    <w:rsid w:val="00BC6422"/>
    <w:rsid w:val="00BC7798"/>
    <w:rsid w:val="00BC7F97"/>
    <w:rsid w:val="00BD052D"/>
    <w:rsid w:val="00BD4001"/>
    <w:rsid w:val="00BD4C39"/>
    <w:rsid w:val="00BD57BE"/>
    <w:rsid w:val="00BD626B"/>
    <w:rsid w:val="00BD64BF"/>
    <w:rsid w:val="00BD72AA"/>
    <w:rsid w:val="00BE0757"/>
    <w:rsid w:val="00BE1399"/>
    <w:rsid w:val="00BE1E51"/>
    <w:rsid w:val="00BE2C69"/>
    <w:rsid w:val="00BE5656"/>
    <w:rsid w:val="00BE58A0"/>
    <w:rsid w:val="00BF1094"/>
    <w:rsid w:val="00BF14C6"/>
    <w:rsid w:val="00BF27EF"/>
    <w:rsid w:val="00BF39D2"/>
    <w:rsid w:val="00BF4147"/>
    <w:rsid w:val="00C00FB6"/>
    <w:rsid w:val="00C021FB"/>
    <w:rsid w:val="00C03EC7"/>
    <w:rsid w:val="00C06C89"/>
    <w:rsid w:val="00C07E7D"/>
    <w:rsid w:val="00C14D45"/>
    <w:rsid w:val="00C1633E"/>
    <w:rsid w:val="00C178F9"/>
    <w:rsid w:val="00C20A2C"/>
    <w:rsid w:val="00C20C51"/>
    <w:rsid w:val="00C218B5"/>
    <w:rsid w:val="00C2364E"/>
    <w:rsid w:val="00C253B7"/>
    <w:rsid w:val="00C26B4E"/>
    <w:rsid w:val="00C270D3"/>
    <w:rsid w:val="00C305EE"/>
    <w:rsid w:val="00C30BF1"/>
    <w:rsid w:val="00C30D16"/>
    <w:rsid w:val="00C31BF3"/>
    <w:rsid w:val="00C31CDA"/>
    <w:rsid w:val="00C323EC"/>
    <w:rsid w:val="00C3260F"/>
    <w:rsid w:val="00C32AA3"/>
    <w:rsid w:val="00C33DF7"/>
    <w:rsid w:val="00C356E3"/>
    <w:rsid w:val="00C36DBD"/>
    <w:rsid w:val="00C37A4E"/>
    <w:rsid w:val="00C41D9C"/>
    <w:rsid w:val="00C42315"/>
    <w:rsid w:val="00C4308F"/>
    <w:rsid w:val="00C45288"/>
    <w:rsid w:val="00C45F71"/>
    <w:rsid w:val="00C513C2"/>
    <w:rsid w:val="00C51668"/>
    <w:rsid w:val="00C535A5"/>
    <w:rsid w:val="00C53633"/>
    <w:rsid w:val="00C57D43"/>
    <w:rsid w:val="00C605D2"/>
    <w:rsid w:val="00C605D7"/>
    <w:rsid w:val="00C63043"/>
    <w:rsid w:val="00C6372A"/>
    <w:rsid w:val="00C63A26"/>
    <w:rsid w:val="00C641A3"/>
    <w:rsid w:val="00C65846"/>
    <w:rsid w:val="00C707A9"/>
    <w:rsid w:val="00C7086A"/>
    <w:rsid w:val="00C72EBF"/>
    <w:rsid w:val="00C73DB6"/>
    <w:rsid w:val="00C7444C"/>
    <w:rsid w:val="00C753CB"/>
    <w:rsid w:val="00C75FF7"/>
    <w:rsid w:val="00C76B37"/>
    <w:rsid w:val="00C820D4"/>
    <w:rsid w:val="00C8212F"/>
    <w:rsid w:val="00C82C4A"/>
    <w:rsid w:val="00C8360A"/>
    <w:rsid w:val="00C83648"/>
    <w:rsid w:val="00C8475F"/>
    <w:rsid w:val="00C8513B"/>
    <w:rsid w:val="00C85FCB"/>
    <w:rsid w:val="00C86041"/>
    <w:rsid w:val="00C865A1"/>
    <w:rsid w:val="00C86BDE"/>
    <w:rsid w:val="00C8777A"/>
    <w:rsid w:val="00C914ED"/>
    <w:rsid w:val="00C91CA3"/>
    <w:rsid w:val="00C91E6F"/>
    <w:rsid w:val="00C91E97"/>
    <w:rsid w:val="00C934D0"/>
    <w:rsid w:val="00C956D1"/>
    <w:rsid w:val="00C96B18"/>
    <w:rsid w:val="00C97F13"/>
    <w:rsid w:val="00CA0A2E"/>
    <w:rsid w:val="00CA2545"/>
    <w:rsid w:val="00CA6190"/>
    <w:rsid w:val="00CB03F3"/>
    <w:rsid w:val="00CB2F05"/>
    <w:rsid w:val="00CB43E9"/>
    <w:rsid w:val="00CB51A9"/>
    <w:rsid w:val="00CB6D24"/>
    <w:rsid w:val="00CC04EE"/>
    <w:rsid w:val="00CC10BF"/>
    <w:rsid w:val="00CC27DA"/>
    <w:rsid w:val="00CC40DE"/>
    <w:rsid w:val="00CC6412"/>
    <w:rsid w:val="00CC6437"/>
    <w:rsid w:val="00CC696E"/>
    <w:rsid w:val="00CC6F1A"/>
    <w:rsid w:val="00CD16DD"/>
    <w:rsid w:val="00CD3EF8"/>
    <w:rsid w:val="00CD5A4A"/>
    <w:rsid w:val="00CD69AF"/>
    <w:rsid w:val="00CE2526"/>
    <w:rsid w:val="00CE296E"/>
    <w:rsid w:val="00CE328C"/>
    <w:rsid w:val="00CE345B"/>
    <w:rsid w:val="00CF01C2"/>
    <w:rsid w:val="00CF0884"/>
    <w:rsid w:val="00CF0C96"/>
    <w:rsid w:val="00CF19C3"/>
    <w:rsid w:val="00CF3DAB"/>
    <w:rsid w:val="00CF5C20"/>
    <w:rsid w:val="00CF6723"/>
    <w:rsid w:val="00CF73CB"/>
    <w:rsid w:val="00CF7938"/>
    <w:rsid w:val="00CF79A9"/>
    <w:rsid w:val="00CF7E9D"/>
    <w:rsid w:val="00D00EA0"/>
    <w:rsid w:val="00D018F9"/>
    <w:rsid w:val="00D04FE8"/>
    <w:rsid w:val="00D06C7A"/>
    <w:rsid w:val="00D12795"/>
    <w:rsid w:val="00D13F3C"/>
    <w:rsid w:val="00D141A7"/>
    <w:rsid w:val="00D14A1D"/>
    <w:rsid w:val="00D15B89"/>
    <w:rsid w:val="00D1638E"/>
    <w:rsid w:val="00D20F8A"/>
    <w:rsid w:val="00D21F1A"/>
    <w:rsid w:val="00D2241A"/>
    <w:rsid w:val="00D2258E"/>
    <w:rsid w:val="00D22D0F"/>
    <w:rsid w:val="00D2343A"/>
    <w:rsid w:val="00D255D8"/>
    <w:rsid w:val="00D25FF0"/>
    <w:rsid w:val="00D2632C"/>
    <w:rsid w:val="00D27AC2"/>
    <w:rsid w:val="00D27E38"/>
    <w:rsid w:val="00D31DDF"/>
    <w:rsid w:val="00D3257E"/>
    <w:rsid w:val="00D33609"/>
    <w:rsid w:val="00D33E4F"/>
    <w:rsid w:val="00D33F1C"/>
    <w:rsid w:val="00D34E73"/>
    <w:rsid w:val="00D35565"/>
    <w:rsid w:val="00D35B61"/>
    <w:rsid w:val="00D35E0C"/>
    <w:rsid w:val="00D35FAD"/>
    <w:rsid w:val="00D400A5"/>
    <w:rsid w:val="00D4026B"/>
    <w:rsid w:val="00D44B4D"/>
    <w:rsid w:val="00D4522C"/>
    <w:rsid w:val="00D45C3E"/>
    <w:rsid w:val="00D4737D"/>
    <w:rsid w:val="00D47E68"/>
    <w:rsid w:val="00D47FC7"/>
    <w:rsid w:val="00D50A2C"/>
    <w:rsid w:val="00D5109E"/>
    <w:rsid w:val="00D52686"/>
    <w:rsid w:val="00D52950"/>
    <w:rsid w:val="00D549B2"/>
    <w:rsid w:val="00D54C69"/>
    <w:rsid w:val="00D5740F"/>
    <w:rsid w:val="00D57A01"/>
    <w:rsid w:val="00D65BFF"/>
    <w:rsid w:val="00D67404"/>
    <w:rsid w:val="00D7290B"/>
    <w:rsid w:val="00D7567A"/>
    <w:rsid w:val="00D76E71"/>
    <w:rsid w:val="00D776DD"/>
    <w:rsid w:val="00D806A0"/>
    <w:rsid w:val="00D8095A"/>
    <w:rsid w:val="00D83A31"/>
    <w:rsid w:val="00D83A67"/>
    <w:rsid w:val="00D8453F"/>
    <w:rsid w:val="00D85FC2"/>
    <w:rsid w:val="00D85FCE"/>
    <w:rsid w:val="00D91179"/>
    <w:rsid w:val="00D96FF7"/>
    <w:rsid w:val="00D97492"/>
    <w:rsid w:val="00D97EC1"/>
    <w:rsid w:val="00DA40B1"/>
    <w:rsid w:val="00DA475C"/>
    <w:rsid w:val="00DA4CB1"/>
    <w:rsid w:val="00DA51E6"/>
    <w:rsid w:val="00DA7034"/>
    <w:rsid w:val="00DA7D1A"/>
    <w:rsid w:val="00DB277D"/>
    <w:rsid w:val="00DB3562"/>
    <w:rsid w:val="00DB388C"/>
    <w:rsid w:val="00DB558D"/>
    <w:rsid w:val="00DB6594"/>
    <w:rsid w:val="00DB7F8D"/>
    <w:rsid w:val="00DC0CFA"/>
    <w:rsid w:val="00DC1233"/>
    <w:rsid w:val="00DC486B"/>
    <w:rsid w:val="00DC52B8"/>
    <w:rsid w:val="00DC5441"/>
    <w:rsid w:val="00DC56A2"/>
    <w:rsid w:val="00DC573C"/>
    <w:rsid w:val="00DC6268"/>
    <w:rsid w:val="00DC71C7"/>
    <w:rsid w:val="00DC71FC"/>
    <w:rsid w:val="00DC785E"/>
    <w:rsid w:val="00DD0046"/>
    <w:rsid w:val="00DD2B2E"/>
    <w:rsid w:val="00DD382C"/>
    <w:rsid w:val="00DD3DB3"/>
    <w:rsid w:val="00DD4205"/>
    <w:rsid w:val="00DD472F"/>
    <w:rsid w:val="00DD4A0E"/>
    <w:rsid w:val="00DD7166"/>
    <w:rsid w:val="00DD78A0"/>
    <w:rsid w:val="00DE1FA8"/>
    <w:rsid w:val="00DE2168"/>
    <w:rsid w:val="00DE41B8"/>
    <w:rsid w:val="00DE5272"/>
    <w:rsid w:val="00DE5660"/>
    <w:rsid w:val="00DE57D5"/>
    <w:rsid w:val="00DE69F8"/>
    <w:rsid w:val="00DF0256"/>
    <w:rsid w:val="00DF0442"/>
    <w:rsid w:val="00DF24FD"/>
    <w:rsid w:val="00DF32EE"/>
    <w:rsid w:val="00DF549E"/>
    <w:rsid w:val="00DF60F4"/>
    <w:rsid w:val="00DF61B7"/>
    <w:rsid w:val="00DF6666"/>
    <w:rsid w:val="00E01693"/>
    <w:rsid w:val="00E01F9A"/>
    <w:rsid w:val="00E03945"/>
    <w:rsid w:val="00E03EAC"/>
    <w:rsid w:val="00E06716"/>
    <w:rsid w:val="00E0781D"/>
    <w:rsid w:val="00E07DF5"/>
    <w:rsid w:val="00E11FD9"/>
    <w:rsid w:val="00E12015"/>
    <w:rsid w:val="00E1395E"/>
    <w:rsid w:val="00E1458A"/>
    <w:rsid w:val="00E1603A"/>
    <w:rsid w:val="00E17181"/>
    <w:rsid w:val="00E20672"/>
    <w:rsid w:val="00E213E9"/>
    <w:rsid w:val="00E21778"/>
    <w:rsid w:val="00E2206E"/>
    <w:rsid w:val="00E222D8"/>
    <w:rsid w:val="00E22B48"/>
    <w:rsid w:val="00E23013"/>
    <w:rsid w:val="00E23617"/>
    <w:rsid w:val="00E2424B"/>
    <w:rsid w:val="00E25486"/>
    <w:rsid w:val="00E26B7E"/>
    <w:rsid w:val="00E27329"/>
    <w:rsid w:val="00E312B9"/>
    <w:rsid w:val="00E32D8A"/>
    <w:rsid w:val="00E3406D"/>
    <w:rsid w:val="00E34216"/>
    <w:rsid w:val="00E3511F"/>
    <w:rsid w:val="00E3582B"/>
    <w:rsid w:val="00E36BEF"/>
    <w:rsid w:val="00E3718D"/>
    <w:rsid w:val="00E37462"/>
    <w:rsid w:val="00E37F22"/>
    <w:rsid w:val="00E37FC1"/>
    <w:rsid w:val="00E41C10"/>
    <w:rsid w:val="00E4582D"/>
    <w:rsid w:val="00E4655A"/>
    <w:rsid w:val="00E50467"/>
    <w:rsid w:val="00E530E2"/>
    <w:rsid w:val="00E5510D"/>
    <w:rsid w:val="00E55CD0"/>
    <w:rsid w:val="00E56BDD"/>
    <w:rsid w:val="00E60954"/>
    <w:rsid w:val="00E60C70"/>
    <w:rsid w:val="00E62CBA"/>
    <w:rsid w:val="00E63064"/>
    <w:rsid w:val="00E67275"/>
    <w:rsid w:val="00E714F4"/>
    <w:rsid w:val="00E71F03"/>
    <w:rsid w:val="00E729C9"/>
    <w:rsid w:val="00E729DF"/>
    <w:rsid w:val="00E74128"/>
    <w:rsid w:val="00E75F3B"/>
    <w:rsid w:val="00E7647A"/>
    <w:rsid w:val="00E764D1"/>
    <w:rsid w:val="00E769DB"/>
    <w:rsid w:val="00E776C3"/>
    <w:rsid w:val="00E77C94"/>
    <w:rsid w:val="00E8224D"/>
    <w:rsid w:val="00E830E6"/>
    <w:rsid w:val="00E9138A"/>
    <w:rsid w:val="00E924FC"/>
    <w:rsid w:val="00E929E4"/>
    <w:rsid w:val="00E931F6"/>
    <w:rsid w:val="00E950A2"/>
    <w:rsid w:val="00E95EF6"/>
    <w:rsid w:val="00E96423"/>
    <w:rsid w:val="00E96A59"/>
    <w:rsid w:val="00E97898"/>
    <w:rsid w:val="00EA07D4"/>
    <w:rsid w:val="00EA0814"/>
    <w:rsid w:val="00EA0C5B"/>
    <w:rsid w:val="00EA516E"/>
    <w:rsid w:val="00EA745C"/>
    <w:rsid w:val="00EB1C42"/>
    <w:rsid w:val="00EB23FD"/>
    <w:rsid w:val="00EB2DD5"/>
    <w:rsid w:val="00EB5AB0"/>
    <w:rsid w:val="00EB64F1"/>
    <w:rsid w:val="00EB6721"/>
    <w:rsid w:val="00EB6A66"/>
    <w:rsid w:val="00EC3BD7"/>
    <w:rsid w:val="00EC42C5"/>
    <w:rsid w:val="00EC4981"/>
    <w:rsid w:val="00ED1165"/>
    <w:rsid w:val="00ED21AF"/>
    <w:rsid w:val="00ED399B"/>
    <w:rsid w:val="00ED44F1"/>
    <w:rsid w:val="00ED44F4"/>
    <w:rsid w:val="00ED5542"/>
    <w:rsid w:val="00ED62D2"/>
    <w:rsid w:val="00ED71EF"/>
    <w:rsid w:val="00ED72F3"/>
    <w:rsid w:val="00ED7C7C"/>
    <w:rsid w:val="00EE0EDC"/>
    <w:rsid w:val="00EE2ACD"/>
    <w:rsid w:val="00EE2ED5"/>
    <w:rsid w:val="00EE4160"/>
    <w:rsid w:val="00EE4606"/>
    <w:rsid w:val="00EE47AF"/>
    <w:rsid w:val="00EE5178"/>
    <w:rsid w:val="00EE5814"/>
    <w:rsid w:val="00EE581C"/>
    <w:rsid w:val="00EE6047"/>
    <w:rsid w:val="00EE69BD"/>
    <w:rsid w:val="00EF370F"/>
    <w:rsid w:val="00EF4D3C"/>
    <w:rsid w:val="00EF6F22"/>
    <w:rsid w:val="00EF785F"/>
    <w:rsid w:val="00F0140A"/>
    <w:rsid w:val="00F02D2A"/>
    <w:rsid w:val="00F02E56"/>
    <w:rsid w:val="00F04225"/>
    <w:rsid w:val="00F05300"/>
    <w:rsid w:val="00F05C27"/>
    <w:rsid w:val="00F072F1"/>
    <w:rsid w:val="00F11039"/>
    <w:rsid w:val="00F12B82"/>
    <w:rsid w:val="00F13524"/>
    <w:rsid w:val="00F1491D"/>
    <w:rsid w:val="00F1533C"/>
    <w:rsid w:val="00F15AD2"/>
    <w:rsid w:val="00F15D58"/>
    <w:rsid w:val="00F16C48"/>
    <w:rsid w:val="00F1772E"/>
    <w:rsid w:val="00F21AB4"/>
    <w:rsid w:val="00F225B5"/>
    <w:rsid w:val="00F250CD"/>
    <w:rsid w:val="00F27210"/>
    <w:rsid w:val="00F30709"/>
    <w:rsid w:val="00F3085D"/>
    <w:rsid w:val="00F32F29"/>
    <w:rsid w:val="00F330B4"/>
    <w:rsid w:val="00F37CA4"/>
    <w:rsid w:val="00F4026C"/>
    <w:rsid w:val="00F4081F"/>
    <w:rsid w:val="00F4131B"/>
    <w:rsid w:val="00F4340A"/>
    <w:rsid w:val="00F43D60"/>
    <w:rsid w:val="00F45362"/>
    <w:rsid w:val="00F45DF7"/>
    <w:rsid w:val="00F46347"/>
    <w:rsid w:val="00F4774A"/>
    <w:rsid w:val="00F47CBF"/>
    <w:rsid w:val="00F519C3"/>
    <w:rsid w:val="00F51A36"/>
    <w:rsid w:val="00F52536"/>
    <w:rsid w:val="00F54353"/>
    <w:rsid w:val="00F5454A"/>
    <w:rsid w:val="00F55A18"/>
    <w:rsid w:val="00F55E86"/>
    <w:rsid w:val="00F56B21"/>
    <w:rsid w:val="00F60484"/>
    <w:rsid w:val="00F61334"/>
    <w:rsid w:val="00F64B4B"/>
    <w:rsid w:val="00F64F4B"/>
    <w:rsid w:val="00F67BEE"/>
    <w:rsid w:val="00F7089F"/>
    <w:rsid w:val="00F7094A"/>
    <w:rsid w:val="00F71604"/>
    <w:rsid w:val="00F72899"/>
    <w:rsid w:val="00F7377E"/>
    <w:rsid w:val="00F761DD"/>
    <w:rsid w:val="00F81EF4"/>
    <w:rsid w:val="00F83162"/>
    <w:rsid w:val="00F84AF8"/>
    <w:rsid w:val="00F84E29"/>
    <w:rsid w:val="00F87B67"/>
    <w:rsid w:val="00F91404"/>
    <w:rsid w:val="00F91C8B"/>
    <w:rsid w:val="00F933D8"/>
    <w:rsid w:val="00F940E3"/>
    <w:rsid w:val="00F97B59"/>
    <w:rsid w:val="00FA0421"/>
    <w:rsid w:val="00FA1E63"/>
    <w:rsid w:val="00FA216D"/>
    <w:rsid w:val="00FA5178"/>
    <w:rsid w:val="00FA54B8"/>
    <w:rsid w:val="00FA5621"/>
    <w:rsid w:val="00FB01C8"/>
    <w:rsid w:val="00FB07F6"/>
    <w:rsid w:val="00FB0B4F"/>
    <w:rsid w:val="00FB1164"/>
    <w:rsid w:val="00FB1940"/>
    <w:rsid w:val="00FB2C7C"/>
    <w:rsid w:val="00FB584E"/>
    <w:rsid w:val="00FB7983"/>
    <w:rsid w:val="00FB7B90"/>
    <w:rsid w:val="00FC066C"/>
    <w:rsid w:val="00FC1234"/>
    <w:rsid w:val="00FC1814"/>
    <w:rsid w:val="00FC1EBD"/>
    <w:rsid w:val="00FC4E0F"/>
    <w:rsid w:val="00FC572F"/>
    <w:rsid w:val="00FC585E"/>
    <w:rsid w:val="00FC5B9E"/>
    <w:rsid w:val="00FC71D7"/>
    <w:rsid w:val="00FC75EA"/>
    <w:rsid w:val="00FC7B3D"/>
    <w:rsid w:val="00FD0CDD"/>
    <w:rsid w:val="00FD1160"/>
    <w:rsid w:val="00FD23B4"/>
    <w:rsid w:val="00FD589F"/>
    <w:rsid w:val="00FD7375"/>
    <w:rsid w:val="00FE2243"/>
    <w:rsid w:val="00FE2C6C"/>
    <w:rsid w:val="00FE2D76"/>
    <w:rsid w:val="00FE34E2"/>
    <w:rsid w:val="00FE3BA0"/>
    <w:rsid w:val="00FE4836"/>
    <w:rsid w:val="00FE4F34"/>
    <w:rsid w:val="00FE5EAF"/>
    <w:rsid w:val="00FE6C3A"/>
    <w:rsid w:val="00FF277A"/>
    <w:rsid w:val="00FF29B6"/>
    <w:rsid w:val="00FF34B0"/>
    <w:rsid w:val="00FF3791"/>
    <w:rsid w:val="00FF5E09"/>
    <w:rsid w:val="29F76132"/>
    <w:rsid w:val="41FEB649"/>
    <w:rsid w:val="62D40865"/>
    <w:rsid w:val="64EA51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667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203"/>
    <w:pPr>
      <w:spacing w:after="240" w:line="260" w:lineRule="exact"/>
      <w:jc w:val="both"/>
    </w:pPr>
    <w:rPr>
      <w:rFonts w:ascii="Book Antiqua" w:hAnsi="Book Antiqua"/>
    </w:rPr>
  </w:style>
  <w:style w:type="paragraph" w:styleId="Heading1">
    <w:name w:val="heading 1"/>
    <w:basedOn w:val="HeadingBase"/>
    <w:next w:val="Normal"/>
    <w:link w:val="Heading1Char"/>
    <w:qFormat/>
    <w:rsid w:val="001C0203"/>
    <w:pPr>
      <w:spacing w:after="240"/>
      <w:jc w:val="center"/>
      <w:outlineLvl w:val="0"/>
    </w:pPr>
    <w:rPr>
      <w:b/>
      <w:smallCaps/>
      <w:kern w:val="34"/>
      <w:sz w:val="34"/>
    </w:rPr>
  </w:style>
  <w:style w:type="paragraph" w:styleId="Heading2">
    <w:name w:val="heading 2"/>
    <w:basedOn w:val="HeadingBase"/>
    <w:next w:val="Normal"/>
    <w:link w:val="Heading2Char"/>
    <w:qFormat/>
    <w:locked/>
    <w:rsid w:val="001C0203"/>
    <w:pPr>
      <w:spacing w:after="360"/>
      <w:jc w:val="center"/>
      <w:outlineLvl w:val="1"/>
    </w:pPr>
    <w:rPr>
      <w:b/>
      <w:sz w:val="30"/>
    </w:rPr>
  </w:style>
  <w:style w:type="paragraph" w:styleId="Heading3">
    <w:name w:val="heading 3"/>
    <w:basedOn w:val="HeadingBase"/>
    <w:next w:val="Normal"/>
    <w:link w:val="Heading3Char"/>
    <w:qFormat/>
    <w:rsid w:val="001C0203"/>
    <w:pPr>
      <w:spacing w:before="240" w:after="240"/>
      <w:outlineLvl w:val="2"/>
    </w:pPr>
    <w:rPr>
      <w:b/>
      <w:smallCaps/>
      <w:sz w:val="26"/>
    </w:rPr>
  </w:style>
  <w:style w:type="paragraph" w:styleId="Heading4">
    <w:name w:val="heading 4"/>
    <w:basedOn w:val="HeadingBase"/>
    <w:next w:val="Normal"/>
    <w:link w:val="Heading4Char"/>
    <w:qFormat/>
    <w:rsid w:val="001C0203"/>
    <w:pPr>
      <w:spacing w:before="120" w:after="120"/>
      <w:outlineLvl w:val="3"/>
    </w:pPr>
    <w:rPr>
      <w:b/>
      <w:sz w:val="22"/>
    </w:rPr>
  </w:style>
  <w:style w:type="paragraph" w:styleId="Heading5">
    <w:name w:val="heading 5"/>
    <w:basedOn w:val="HeadingBase"/>
    <w:next w:val="Normal"/>
    <w:link w:val="Heading5Char"/>
    <w:qFormat/>
    <w:rsid w:val="001C0203"/>
    <w:pPr>
      <w:spacing w:after="120"/>
      <w:outlineLvl w:val="4"/>
    </w:pPr>
    <w:rPr>
      <w:b/>
      <w:bCs/>
      <w:iCs/>
      <w:sz w:val="20"/>
      <w:szCs w:val="26"/>
    </w:rPr>
  </w:style>
  <w:style w:type="paragraph" w:styleId="Heading6">
    <w:name w:val="heading 6"/>
    <w:basedOn w:val="HeadingBase"/>
    <w:next w:val="Normal"/>
    <w:link w:val="Heading6Char"/>
    <w:qFormat/>
    <w:locked/>
    <w:rsid w:val="001C0203"/>
    <w:pPr>
      <w:spacing w:after="120"/>
      <w:outlineLvl w:val="5"/>
    </w:pPr>
    <w:rPr>
      <w:bCs/>
      <w:sz w:val="20"/>
      <w:szCs w:val="22"/>
    </w:rPr>
  </w:style>
  <w:style w:type="paragraph" w:styleId="Heading7">
    <w:name w:val="heading 7"/>
    <w:basedOn w:val="HeadingBase"/>
    <w:next w:val="Normal"/>
    <w:link w:val="Heading7Char"/>
    <w:qFormat/>
    <w:locked/>
    <w:rsid w:val="001C0203"/>
    <w:pPr>
      <w:spacing w:after="100"/>
      <w:outlineLvl w:val="6"/>
    </w:pPr>
    <w:rPr>
      <w:sz w:val="18"/>
      <w:szCs w:val="24"/>
    </w:rPr>
  </w:style>
  <w:style w:type="paragraph" w:styleId="Heading8">
    <w:name w:val="heading 8"/>
    <w:basedOn w:val="HeadingBase"/>
    <w:next w:val="Normal"/>
    <w:link w:val="Heading8Char"/>
    <w:qFormat/>
    <w:locked/>
    <w:rsid w:val="001C0203"/>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76FC6"/>
    <w:rPr>
      <w:rFonts w:ascii="Arial" w:hAnsi="Arial"/>
      <w:b/>
      <w:smallCaps/>
      <w:kern w:val="34"/>
      <w:sz w:val="34"/>
      <w:szCs w:val="20"/>
    </w:rPr>
  </w:style>
  <w:style w:type="character" w:customStyle="1" w:styleId="Heading2Char">
    <w:name w:val="Heading 2 Char"/>
    <w:basedOn w:val="DefaultParagraphFont"/>
    <w:link w:val="Heading2"/>
    <w:locked/>
    <w:rsid w:val="008853C0"/>
    <w:rPr>
      <w:rFonts w:ascii="Arial" w:hAnsi="Arial"/>
      <w:b/>
      <w:sz w:val="30"/>
      <w:szCs w:val="20"/>
    </w:rPr>
  </w:style>
  <w:style w:type="character" w:customStyle="1" w:styleId="Heading3Char">
    <w:name w:val="Heading 3 Char"/>
    <w:basedOn w:val="DefaultParagraphFont"/>
    <w:link w:val="Heading3"/>
    <w:locked/>
    <w:rsid w:val="00876FC6"/>
    <w:rPr>
      <w:rFonts w:ascii="Arial" w:hAnsi="Arial"/>
      <w:b/>
      <w:smallCaps/>
      <w:sz w:val="26"/>
      <w:szCs w:val="20"/>
    </w:rPr>
  </w:style>
  <w:style w:type="character" w:customStyle="1" w:styleId="Heading4Char">
    <w:name w:val="Heading 4 Char"/>
    <w:basedOn w:val="DefaultParagraphFont"/>
    <w:link w:val="Heading4"/>
    <w:locked/>
    <w:rsid w:val="00876FC6"/>
    <w:rPr>
      <w:rFonts w:ascii="Arial" w:hAnsi="Arial"/>
      <w:b/>
      <w:szCs w:val="20"/>
    </w:rPr>
  </w:style>
  <w:style w:type="character" w:customStyle="1" w:styleId="Heading5Char">
    <w:name w:val="Heading 5 Char"/>
    <w:basedOn w:val="DefaultParagraphFont"/>
    <w:link w:val="Heading5"/>
    <w:locked/>
    <w:rsid w:val="00876FC6"/>
    <w:rPr>
      <w:rFonts w:ascii="Arial" w:hAnsi="Arial"/>
      <w:b/>
      <w:bCs/>
      <w:iCs/>
      <w:sz w:val="20"/>
      <w:szCs w:val="26"/>
    </w:rPr>
  </w:style>
  <w:style w:type="character" w:customStyle="1" w:styleId="Heading6Char">
    <w:name w:val="Heading 6 Char"/>
    <w:basedOn w:val="DefaultParagraphFont"/>
    <w:link w:val="Heading6"/>
    <w:locked/>
    <w:rsid w:val="008853C0"/>
    <w:rPr>
      <w:rFonts w:ascii="Arial" w:hAnsi="Arial"/>
      <w:bCs/>
      <w:sz w:val="20"/>
    </w:rPr>
  </w:style>
  <w:style w:type="character" w:customStyle="1" w:styleId="Heading7Char">
    <w:name w:val="Heading 7 Char"/>
    <w:basedOn w:val="DefaultParagraphFont"/>
    <w:link w:val="Heading7"/>
    <w:locked/>
    <w:rsid w:val="008853C0"/>
    <w:rPr>
      <w:rFonts w:ascii="Arial" w:hAnsi="Arial"/>
      <w:sz w:val="18"/>
      <w:szCs w:val="24"/>
    </w:rPr>
  </w:style>
  <w:style w:type="character" w:customStyle="1" w:styleId="Heading8Char">
    <w:name w:val="Heading 8 Char"/>
    <w:basedOn w:val="DefaultParagraphFont"/>
    <w:link w:val="Heading8"/>
    <w:locked/>
    <w:rsid w:val="008853C0"/>
    <w:rPr>
      <w:i/>
      <w:iCs/>
      <w:sz w:val="16"/>
      <w:szCs w:val="24"/>
    </w:rPr>
  </w:style>
  <w:style w:type="paragraph" w:customStyle="1" w:styleId="SingleParagraph">
    <w:name w:val="Single Paragraph"/>
    <w:basedOn w:val="Normal"/>
    <w:rsid w:val="001C0203"/>
    <w:pPr>
      <w:spacing w:after="0"/>
    </w:pPr>
  </w:style>
  <w:style w:type="paragraph" w:customStyle="1" w:styleId="TableHeading">
    <w:name w:val="Table Heading"/>
    <w:basedOn w:val="HeadingBase"/>
    <w:next w:val="TableGraphic"/>
    <w:rsid w:val="001C0203"/>
    <w:pPr>
      <w:spacing w:before="120" w:after="20"/>
    </w:pPr>
    <w:rPr>
      <w:b/>
      <w:sz w:val="20"/>
    </w:rPr>
  </w:style>
  <w:style w:type="paragraph" w:customStyle="1" w:styleId="Bullet">
    <w:name w:val="Bullet"/>
    <w:basedOn w:val="Normal"/>
    <w:link w:val="BulletChar"/>
    <w:rsid w:val="001C0203"/>
    <w:pPr>
      <w:numPr>
        <w:numId w:val="1"/>
      </w:numPr>
    </w:pPr>
  </w:style>
  <w:style w:type="paragraph" w:customStyle="1" w:styleId="Dash">
    <w:name w:val="Dash"/>
    <w:basedOn w:val="Normal"/>
    <w:rsid w:val="001C0203"/>
    <w:pPr>
      <w:numPr>
        <w:ilvl w:val="1"/>
        <w:numId w:val="1"/>
      </w:numPr>
    </w:pPr>
  </w:style>
  <w:style w:type="paragraph" w:customStyle="1" w:styleId="DoubleDot">
    <w:name w:val="Double Dot"/>
    <w:basedOn w:val="Normal"/>
    <w:link w:val="DoubleDotChar"/>
    <w:rsid w:val="001C0203"/>
    <w:pPr>
      <w:numPr>
        <w:ilvl w:val="2"/>
        <w:numId w:val="1"/>
      </w:numPr>
    </w:pPr>
  </w:style>
  <w:style w:type="paragraph" w:customStyle="1" w:styleId="AppendixHeading">
    <w:name w:val="Appendix Heading"/>
    <w:basedOn w:val="HeadingBase"/>
    <w:rsid w:val="001C0203"/>
    <w:pPr>
      <w:spacing w:after="240"/>
      <w:jc w:val="center"/>
      <w:outlineLvl w:val="3"/>
    </w:pPr>
    <w:rPr>
      <w:b/>
      <w:smallCaps/>
      <w:sz w:val="30"/>
    </w:rPr>
  </w:style>
  <w:style w:type="paragraph" w:customStyle="1" w:styleId="BoxHeading">
    <w:name w:val="Box Heading"/>
    <w:basedOn w:val="HeadingBase"/>
    <w:next w:val="BoxText"/>
    <w:rsid w:val="001C0203"/>
    <w:pPr>
      <w:spacing w:before="120" w:after="120"/>
    </w:pPr>
    <w:rPr>
      <w:b/>
      <w:sz w:val="20"/>
    </w:rPr>
  </w:style>
  <w:style w:type="paragraph" w:customStyle="1" w:styleId="ChartandTableFootnoteAlpha">
    <w:name w:val="Chart and Table Footnote Alpha"/>
    <w:basedOn w:val="HeadingBase"/>
    <w:next w:val="Normal"/>
    <w:uiPriority w:val="99"/>
    <w:rsid w:val="001C0203"/>
    <w:pPr>
      <w:numPr>
        <w:numId w:val="2"/>
      </w:numPr>
      <w:jc w:val="both"/>
    </w:pPr>
    <w:rPr>
      <w:sz w:val="16"/>
    </w:rPr>
  </w:style>
  <w:style w:type="paragraph" w:customStyle="1" w:styleId="BoxBullet">
    <w:name w:val="Box Bullet"/>
    <w:basedOn w:val="BoxText"/>
    <w:rsid w:val="001C0203"/>
    <w:pPr>
      <w:numPr>
        <w:numId w:val="3"/>
      </w:numPr>
    </w:pPr>
  </w:style>
  <w:style w:type="paragraph" w:customStyle="1" w:styleId="ContentsHeading">
    <w:name w:val="Contents Heading"/>
    <w:basedOn w:val="HeadingBase"/>
    <w:next w:val="Normal"/>
    <w:rsid w:val="001C0203"/>
    <w:pPr>
      <w:spacing w:after="720"/>
      <w:jc w:val="center"/>
    </w:pPr>
    <w:rPr>
      <w:b/>
      <w:smallCaps/>
      <w:sz w:val="34"/>
    </w:rPr>
  </w:style>
  <w:style w:type="paragraph" w:customStyle="1" w:styleId="Classification">
    <w:name w:val="Classification"/>
    <w:basedOn w:val="HeadingBase"/>
    <w:rsid w:val="001C0203"/>
    <w:pPr>
      <w:jc w:val="center"/>
    </w:pPr>
    <w:rPr>
      <w:b/>
      <w:smallCaps/>
    </w:rPr>
  </w:style>
  <w:style w:type="paragraph" w:customStyle="1" w:styleId="TableGraphic">
    <w:name w:val="Table Graphic"/>
    <w:basedOn w:val="Normal"/>
    <w:next w:val="Normal"/>
    <w:rsid w:val="001C0203"/>
    <w:pPr>
      <w:spacing w:after="0" w:line="240" w:lineRule="auto"/>
      <w:ind w:right="-113"/>
    </w:pPr>
  </w:style>
  <w:style w:type="paragraph" w:customStyle="1" w:styleId="TableColumnHeadingLeft">
    <w:name w:val="Table Column Heading Left"/>
    <w:basedOn w:val="TableColumnHeadingBase"/>
    <w:next w:val="TableTextLeft"/>
    <w:rsid w:val="001C0203"/>
  </w:style>
  <w:style w:type="paragraph" w:customStyle="1" w:styleId="TableColumnHeadingRight">
    <w:name w:val="Table Column Heading Right"/>
    <w:basedOn w:val="TableColumnHeadingBase"/>
    <w:next w:val="TableTextRight"/>
    <w:rsid w:val="001C0203"/>
    <w:pPr>
      <w:jc w:val="right"/>
    </w:pPr>
  </w:style>
  <w:style w:type="paragraph" w:customStyle="1" w:styleId="TPHeading2">
    <w:name w:val="TP Heading 2"/>
    <w:basedOn w:val="HeadingBase"/>
    <w:rsid w:val="001C0203"/>
    <w:pPr>
      <w:jc w:val="center"/>
    </w:pPr>
    <w:rPr>
      <w:rFonts w:ascii="Book Antiqua" w:hAnsi="Book Antiqua"/>
      <w:b/>
      <w:caps/>
      <w:sz w:val="44"/>
    </w:rPr>
  </w:style>
  <w:style w:type="paragraph" w:customStyle="1" w:styleId="TPHeading3">
    <w:name w:val="TP Heading 3"/>
    <w:basedOn w:val="HeadingBase"/>
    <w:rsid w:val="001C0203"/>
    <w:pPr>
      <w:jc w:val="center"/>
    </w:pPr>
    <w:rPr>
      <w:rFonts w:ascii="Book Antiqua" w:hAnsi="Book Antiqua"/>
      <w:caps/>
    </w:rPr>
  </w:style>
  <w:style w:type="paragraph" w:styleId="Header">
    <w:name w:val="header"/>
    <w:basedOn w:val="HeaderBase"/>
    <w:link w:val="HeaderChar"/>
    <w:rsid w:val="001C0203"/>
    <w:pPr>
      <w:tabs>
        <w:tab w:val="center" w:pos="4153"/>
        <w:tab w:val="right" w:pos="8306"/>
      </w:tabs>
    </w:pPr>
  </w:style>
  <w:style w:type="character" w:customStyle="1" w:styleId="HeaderChar">
    <w:name w:val="Header Char"/>
    <w:basedOn w:val="DefaultParagraphFont"/>
    <w:link w:val="Header"/>
    <w:locked/>
    <w:rsid w:val="00876FC6"/>
    <w:rPr>
      <w:rFonts w:ascii="Book Antiqua" w:hAnsi="Book Antiqua"/>
      <w:i/>
      <w:sz w:val="20"/>
      <w:szCs w:val="20"/>
    </w:rPr>
  </w:style>
  <w:style w:type="paragraph" w:styleId="Footer">
    <w:name w:val="footer"/>
    <w:basedOn w:val="FooterBase"/>
    <w:link w:val="FooterChar"/>
    <w:rsid w:val="001C0203"/>
    <w:pPr>
      <w:tabs>
        <w:tab w:val="center" w:pos="4153"/>
        <w:tab w:val="right" w:pos="8306"/>
      </w:tabs>
    </w:pPr>
  </w:style>
  <w:style w:type="character" w:customStyle="1" w:styleId="FooterChar">
    <w:name w:val="Footer Char"/>
    <w:basedOn w:val="DefaultParagraphFont"/>
    <w:link w:val="Footer"/>
    <w:locked/>
    <w:rsid w:val="00876FC6"/>
    <w:rPr>
      <w:rFonts w:ascii="Arial" w:hAnsi="Arial"/>
      <w:sz w:val="20"/>
      <w:szCs w:val="20"/>
    </w:rPr>
  </w:style>
  <w:style w:type="paragraph" w:styleId="Caption">
    <w:name w:val="caption"/>
    <w:basedOn w:val="Normal"/>
    <w:next w:val="Normal"/>
    <w:link w:val="CaptionChar"/>
    <w:qFormat/>
    <w:rsid w:val="001C0203"/>
    <w:rPr>
      <w:b/>
      <w:bCs/>
    </w:rPr>
  </w:style>
  <w:style w:type="paragraph" w:styleId="TOC1">
    <w:name w:val="toc 1"/>
    <w:basedOn w:val="HeaderBase"/>
    <w:next w:val="Normal"/>
    <w:uiPriority w:val="39"/>
    <w:rsid w:val="001C0203"/>
    <w:pPr>
      <w:tabs>
        <w:tab w:val="left" w:pos="1486"/>
        <w:tab w:val="right" w:leader="dot" w:pos="7700"/>
      </w:tabs>
      <w:spacing w:before="240"/>
      <w:ind w:right="851"/>
    </w:pPr>
    <w:rPr>
      <w:rFonts w:ascii="Arial Bold" w:hAnsi="Arial Bold"/>
      <w:b/>
      <w:i w:val="0"/>
      <w:smallCaps/>
      <w:sz w:val="22"/>
    </w:rPr>
  </w:style>
  <w:style w:type="paragraph" w:styleId="TOC2">
    <w:name w:val="toc 2"/>
    <w:basedOn w:val="HeadingBase"/>
    <w:next w:val="Normal"/>
    <w:rsid w:val="001C0203"/>
    <w:pPr>
      <w:tabs>
        <w:tab w:val="left" w:pos="992"/>
        <w:tab w:val="right" w:leader="dot" w:pos="7700"/>
      </w:tabs>
      <w:spacing w:before="40"/>
      <w:ind w:left="1078" w:right="851" w:hanging="284"/>
    </w:pPr>
    <w:rPr>
      <w:sz w:val="20"/>
    </w:rPr>
  </w:style>
  <w:style w:type="paragraph" w:customStyle="1" w:styleId="FileProperties">
    <w:name w:val="File Properties"/>
    <w:basedOn w:val="Normal"/>
    <w:rsid w:val="001C0203"/>
    <w:rPr>
      <w:i/>
    </w:rPr>
  </w:style>
  <w:style w:type="character" w:styleId="PageNumber">
    <w:name w:val="page number"/>
    <w:basedOn w:val="DefaultParagraphFont"/>
    <w:rsid w:val="001C0203"/>
    <w:rPr>
      <w:rFonts w:ascii="Arial" w:hAnsi="Arial" w:cs="Arial"/>
    </w:rPr>
  </w:style>
  <w:style w:type="table" w:styleId="TableGrid">
    <w:name w:val="Table Grid"/>
    <w:basedOn w:val="TableNormal"/>
    <w:uiPriority w:val="59"/>
    <w:rsid w:val="001C020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ClassificationFooter">
    <w:name w:val="Security Classification Footer"/>
    <w:uiPriority w:val="99"/>
    <w:rsid w:val="000F5785"/>
    <w:pPr>
      <w:spacing w:before="240"/>
      <w:jc w:val="center"/>
    </w:pPr>
    <w:rPr>
      <w:rFonts w:ascii="Book Antiqua" w:hAnsi="Book Antiqua" w:cs="Book Antiqua"/>
      <w:b/>
      <w:bCs/>
      <w:i/>
      <w:iCs/>
      <w:caps/>
      <w:sz w:val="24"/>
      <w:szCs w:val="24"/>
    </w:rPr>
  </w:style>
  <w:style w:type="character" w:customStyle="1" w:styleId="CaptionChar">
    <w:name w:val="Caption Char"/>
    <w:basedOn w:val="DefaultParagraphFont"/>
    <w:link w:val="Caption"/>
    <w:locked/>
    <w:rsid w:val="000F5785"/>
    <w:rPr>
      <w:rFonts w:ascii="Book Antiqua" w:hAnsi="Book Antiqua"/>
      <w:b/>
      <w:bCs/>
      <w:sz w:val="20"/>
      <w:szCs w:val="20"/>
    </w:rPr>
  </w:style>
  <w:style w:type="paragraph" w:customStyle="1" w:styleId="Proformatext">
    <w:name w:val="Pro forma text"/>
    <w:basedOn w:val="Normal"/>
    <w:rsid w:val="001C0203"/>
    <w:pPr>
      <w:spacing w:before="80" w:after="80"/>
      <w:jc w:val="left"/>
    </w:pPr>
  </w:style>
  <w:style w:type="paragraph" w:customStyle="1" w:styleId="Proformabullet">
    <w:name w:val="Pro forma bullet"/>
    <w:basedOn w:val="Bullet"/>
    <w:rsid w:val="001C0203"/>
    <w:pPr>
      <w:numPr>
        <w:numId w:val="0"/>
      </w:numPr>
      <w:spacing w:before="80" w:after="80"/>
      <w:jc w:val="left"/>
    </w:pPr>
  </w:style>
  <w:style w:type="paragraph" w:customStyle="1" w:styleId="Proformaheading">
    <w:name w:val="Pro forma heading"/>
    <w:basedOn w:val="Heading5"/>
    <w:rsid w:val="001C0203"/>
    <w:pPr>
      <w:spacing w:before="120"/>
    </w:pPr>
  </w:style>
  <w:style w:type="paragraph" w:styleId="BalloonText">
    <w:name w:val="Balloon Text"/>
    <w:basedOn w:val="Normal"/>
    <w:link w:val="BalloonTextChar"/>
    <w:rsid w:val="001C0203"/>
    <w:rPr>
      <w:rFonts w:ascii="Tahoma" w:hAnsi="Tahoma" w:cs="Tahoma"/>
      <w:sz w:val="16"/>
      <w:szCs w:val="16"/>
    </w:rPr>
  </w:style>
  <w:style w:type="character" w:customStyle="1" w:styleId="BalloonTextChar">
    <w:name w:val="Balloon Text Char"/>
    <w:basedOn w:val="DefaultParagraphFont"/>
    <w:link w:val="BalloonText"/>
    <w:locked/>
    <w:rsid w:val="00907C55"/>
    <w:rPr>
      <w:rFonts w:ascii="Tahoma" w:hAnsi="Tahoma" w:cs="Tahoma"/>
      <w:sz w:val="16"/>
      <w:szCs w:val="16"/>
    </w:rPr>
  </w:style>
  <w:style w:type="character" w:styleId="CommentReference">
    <w:name w:val="annotation reference"/>
    <w:basedOn w:val="DefaultParagraphFont"/>
    <w:uiPriority w:val="99"/>
    <w:rsid w:val="001C0203"/>
    <w:rPr>
      <w:sz w:val="16"/>
      <w:szCs w:val="16"/>
    </w:rPr>
  </w:style>
  <w:style w:type="paragraph" w:styleId="CommentText">
    <w:name w:val="annotation text"/>
    <w:basedOn w:val="Normal"/>
    <w:link w:val="CommentTextChar"/>
    <w:uiPriority w:val="99"/>
    <w:rsid w:val="001C0203"/>
  </w:style>
  <w:style w:type="character" w:customStyle="1" w:styleId="CommentTextChar">
    <w:name w:val="Comment Text Char"/>
    <w:basedOn w:val="DefaultParagraphFont"/>
    <w:link w:val="CommentText"/>
    <w:uiPriority w:val="99"/>
    <w:locked/>
    <w:rsid w:val="00647929"/>
    <w:rPr>
      <w:rFonts w:ascii="Book Antiqua" w:hAnsi="Book Antiqua"/>
      <w:sz w:val="20"/>
      <w:szCs w:val="20"/>
    </w:rPr>
  </w:style>
  <w:style w:type="paragraph" w:styleId="CommentSubject">
    <w:name w:val="annotation subject"/>
    <w:basedOn w:val="CommentText"/>
    <w:next w:val="CommentText"/>
    <w:link w:val="CommentSubjectChar"/>
    <w:rsid w:val="001C0203"/>
    <w:rPr>
      <w:b/>
      <w:bCs/>
    </w:rPr>
  </w:style>
  <w:style w:type="character" w:customStyle="1" w:styleId="CommentSubjectChar">
    <w:name w:val="Comment Subject Char"/>
    <w:basedOn w:val="CommentTextChar"/>
    <w:link w:val="CommentSubject"/>
    <w:locked/>
    <w:rsid w:val="00647929"/>
    <w:rPr>
      <w:rFonts w:ascii="Book Antiqua" w:hAnsi="Book Antiqua"/>
      <w:b/>
      <w:bCs/>
      <w:sz w:val="20"/>
      <w:szCs w:val="20"/>
    </w:rPr>
  </w:style>
  <w:style w:type="paragraph" w:customStyle="1" w:styleId="ChartHeading">
    <w:name w:val="Chart Heading"/>
    <w:basedOn w:val="HeadingBase"/>
    <w:next w:val="ChartGraphic"/>
    <w:rsid w:val="001C0203"/>
    <w:pPr>
      <w:spacing w:before="120" w:after="20"/>
      <w:jc w:val="center"/>
    </w:pPr>
    <w:rPr>
      <w:b/>
      <w:sz w:val="20"/>
    </w:rPr>
  </w:style>
  <w:style w:type="paragraph" w:customStyle="1" w:styleId="ChartSecondHeading">
    <w:name w:val="Chart Second Heading"/>
    <w:basedOn w:val="HeadingBase"/>
    <w:next w:val="ChartGraphic"/>
    <w:rsid w:val="001C0203"/>
    <w:pPr>
      <w:spacing w:before="60"/>
      <w:jc w:val="center"/>
    </w:pPr>
    <w:rPr>
      <w:sz w:val="20"/>
    </w:rPr>
  </w:style>
  <w:style w:type="paragraph" w:customStyle="1" w:styleId="HeadingBase">
    <w:name w:val="Heading Base"/>
    <w:rsid w:val="001C0203"/>
    <w:pPr>
      <w:keepNext/>
    </w:pPr>
    <w:rPr>
      <w:rFonts w:ascii="Arial" w:hAnsi="Arial"/>
      <w:sz w:val="24"/>
    </w:rPr>
  </w:style>
  <w:style w:type="paragraph" w:customStyle="1" w:styleId="AlphaParagraph">
    <w:name w:val="Alpha Paragraph"/>
    <w:basedOn w:val="Normal"/>
    <w:rsid w:val="001C0203"/>
    <w:pPr>
      <w:numPr>
        <w:numId w:val="5"/>
      </w:numPr>
    </w:pPr>
  </w:style>
  <w:style w:type="paragraph" w:customStyle="1" w:styleId="BoxText">
    <w:name w:val="Box Text"/>
    <w:basedOn w:val="Normal"/>
    <w:rsid w:val="001C0203"/>
    <w:pPr>
      <w:spacing w:before="120" w:after="120" w:line="240" w:lineRule="auto"/>
    </w:pPr>
  </w:style>
  <w:style w:type="paragraph" w:customStyle="1" w:styleId="ChartandTableFootnoteAlphaSmall">
    <w:name w:val="Chart and Table Footnote Alpha Small"/>
    <w:basedOn w:val="HeadingBase"/>
    <w:next w:val="Normal"/>
    <w:rsid w:val="001C0203"/>
    <w:pPr>
      <w:numPr>
        <w:numId w:val="6"/>
      </w:numPr>
      <w:jc w:val="both"/>
    </w:pPr>
    <w:rPr>
      <w:sz w:val="15"/>
    </w:rPr>
  </w:style>
  <w:style w:type="paragraph" w:customStyle="1" w:styleId="ChartandTableFootnote">
    <w:name w:val="Chart and Table Footnote"/>
    <w:basedOn w:val="HeadingBase"/>
    <w:next w:val="Normal"/>
    <w:rsid w:val="001C0203"/>
    <w:pPr>
      <w:tabs>
        <w:tab w:val="left" w:pos="284"/>
      </w:tabs>
      <w:jc w:val="both"/>
    </w:pPr>
    <w:rPr>
      <w:sz w:val="16"/>
    </w:rPr>
  </w:style>
  <w:style w:type="paragraph" w:customStyle="1" w:styleId="ChartandTableFootnoteSmall">
    <w:name w:val="Chart and Table Footnote Small"/>
    <w:basedOn w:val="HeadingBase"/>
    <w:next w:val="Normal"/>
    <w:rsid w:val="001C0203"/>
    <w:pPr>
      <w:tabs>
        <w:tab w:val="left" w:pos="284"/>
      </w:tabs>
      <w:jc w:val="both"/>
    </w:pPr>
    <w:rPr>
      <w:sz w:val="15"/>
    </w:rPr>
  </w:style>
  <w:style w:type="paragraph" w:customStyle="1" w:styleId="ChartGraphic">
    <w:name w:val="Chart Graphic"/>
    <w:basedOn w:val="HeadingBase"/>
    <w:rsid w:val="001C0203"/>
    <w:pPr>
      <w:jc w:val="center"/>
    </w:pPr>
    <w:rPr>
      <w:sz w:val="20"/>
    </w:rPr>
  </w:style>
  <w:style w:type="paragraph" w:customStyle="1" w:styleId="FigureHeading">
    <w:name w:val="Figure Heading"/>
    <w:basedOn w:val="HeadingBase"/>
    <w:next w:val="ChartGraphic"/>
    <w:rsid w:val="001C0203"/>
    <w:pPr>
      <w:spacing w:before="120" w:after="20"/>
    </w:pPr>
    <w:rPr>
      <w:b/>
      <w:sz w:val="20"/>
    </w:rPr>
  </w:style>
  <w:style w:type="character" w:customStyle="1" w:styleId="HiddenSequenceCode">
    <w:name w:val="Hidden Sequence Code"/>
    <w:basedOn w:val="DefaultParagraphFont"/>
    <w:rsid w:val="001C0203"/>
    <w:rPr>
      <w:rFonts w:ascii="Times New Roman" w:hAnsi="Times New Roman"/>
      <w:vanish/>
      <w:sz w:val="16"/>
    </w:rPr>
  </w:style>
  <w:style w:type="paragraph" w:customStyle="1" w:styleId="OverviewParagraph">
    <w:name w:val="Overview Paragraph"/>
    <w:basedOn w:val="Normal"/>
    <w:rsid w:val="001C0203"/>
    <w:pPr>
      <w:spacing w:before="120" w:after="120" w:line="240" w:lineRule="auto"/>
    </w:pPr>
  </w:style>
  <w:style w:type="paragraph" w:customStyle="1" w:styleId="NoteTableHeading">
    <w:name w:val="Note Table Heading"/>
    <w:basedOn w:val="HeadingBase"/>
    <w:next w:val="TableGraphic"/>
    <w:rsid w:val="001C0203"/>
    <w:pPr>
      <w:spacing w:before="240"/>
    </w:pPr>
    <w:rPr>
      <w:b/>
      <w:sz w:val="20"/>
    </w:rPr>
  </w:style>
  <w:style w:type="paragraph" w:customStyle="1" w:styleId="Source">
    <w:name w:val="Source"/>
    <w:basedOn w:val="Normal"/>
    <w:rsid w:val="001C0203"/>
    <w:pPr>
      <w:tabs>
        <w:tab w:val="left" w:pos="284"/>
      </w:tabs>
      <w:spacing w:line="240" w:lineRule="auto"/>
    </w:pPr>
    <w:rPr>
      <w:rFonts w:ascii="Arial" w:hAnsi="Arial"/>
      <w:sz w:val="16"/>
    </w:rPr>
  </w:style>
  <w:style w:type="paragraph" w:customStyle="1" w:styleId="TableTextBase">
    <w:name w:val="Table Text Base"/>
    <w:basedOn w:val="Normal"/>
    <w:rsid w:val="001C0203"/>
    <w:pPr>
      <w:spacing w:before="20" w:after="20" w:line="240" w:lineRule="auto"/>
      <w:jc w:val="left"/>
    </w:pPr>
    <w:rPr>
      <w:rFonts w:ascii="Arial" w:hAnsi="Arial"/>
      <w:sz w:val="16"/>
    </w:rPr>
  </w:style>
  <w:style w:type="paragraph" w:customStyle="1" w:styleId="TableColumnHeadingBase">
    <w:name w:val="Table Column Heading Base"/>
    <w:basedOn w:val="Normal"/>
    <w:rsid w:val="001C0203"/>
    <w:pPr>
      <w:spacing w:before="40" w:after="40" w:line="240" w:lineRule="auto"/>
      <w:jc w:val="left"/>
    </w:pPr>
    <w:rPr>
      <w:rFonts w:ascii="Arial" w:hAnsi="Arial"/>
      <w:b/>
      <w:sz w:val="16"/>
    </w:rPr>
  </w:style>
  <w:style w:type="paragraph" w:customStyle="1" w:styleId="TableTextLeft">
    <w:name w:val="Table Text Left"/>
    <w:basedOn w:val="TableTextBase"/>
    <w:rsid w:val="001C0203"/>
  </w:style>
  <w:style w:type="paragraph" w:customStyle="1" w:styleId="TableTextRight">
    <w:name w:val="Table Text Right"/>
    <w:basedOn w:val="TableTextBase"/>
    <w:rsid w:val="001C0203"/>
    <w:pPr>
      <w:jc w:val="right"/>
    </w:pPr>
  </w:style>
  <w:style w:type="paragraph" w:customStyle="1" w:styleId="TableTextCentred">
    <w:name w:val="Table Text Centred"/>
    <w:basedOn w:val="TableTextBase"/>
    <w:rsid w:val="001C0203"/>
    <w:pPr>
      <w:jc w:val="center"/>
    </w:pPr>
  </w:style>
  <w:style w:type="paragraph" w:customStyle="1" w:styleId="TableTextIndented">
    <w:name w:val="Table Text Indented"/>
    <w:basedOn w:val="TableTextBase"/>
    <w:rsid w:val="001C0203"/>
    <w:pPr>
      <w:ind w:left="284"/>
    </w:pPr>
  </w:style>
  <w:style w:type="paragraph" w:customStyle="1" w:styleId="TableColumnHeadingCentred">
    <w:name w:val="Table Column Heading Centred"/>
    <w:basedOn w:val="TableColumnHeadingBase"/>
    <w:next w:val="TableTextLeft"/>
    <w:rsid w:val="001C0203"/>
    <w:pPr>
      <w:jc w:val="center"/>
    </w:pPr>
  </w:style>
  <w:style w:type="paragraph" w:customStyle="1" w:styleId="TableColumnHeadingS119pt">
    <w:name w:val="Table Column Heading S11 9 pt"/>
    <w:basedOn w:val="TableColumnHeadingBase"/>
    <w:rsid w:val="001C0203"/>
    <w:pPr>
      <w:spacing w:before="60" w:after="60"/>
    </w:pPr>
    <w:rPr>
      <w:sz w:val="18"/>
    </w:rPr>
  </w:style>
  <w:style w:type="paragraph" w:customStyle="1" w:styleId="TableColumnHeadingS118pt">
    <w:name w:val="Table Column Heading S11 8 pt"/>
    <w:basedOn w:val="TableColumnHeadingBase"/>
    <w:rsid w:val="001C0203"/>
    <w:pPr>
      <w:spacing w:after="0"/>
    </w:pPr>
  </w:style>
  <w:style w:type="paragraph" w:customStyle="1" w:styleId="TableHeadingcontinued">
    <w:name w:val="Table Heading continued"/>
    <w:basedOn w:val="HeadingBase"/>
    <w:next w:val="TableGraphic"/>
    <w:rsid w:val="001C0203"/>
    <w:pPr>
      <w:spacing w:before="120" w:after="20"/>
    </w:pPr>
    <w:rPr>
      <w:rFonts w:ascii="Arial Bold" w:hAnsi="Arial Bold"/>
      <w:b/>
      <w:sz w:val="20"/>
    </w:rPr>
  </w:style>
  <w:style w:type="paragraph" w:customStyle="1" w:styleId="TPHeading1">
    <w:name w:val="TP Heading 1"/>
    <w:basedOn w:val="HeadingBase"/>
    <w:rsid w:val="001C0203"/>
    <w:pPr>
      <w:jc w:val="center"/>
    </w:pPr>
    <w:rPr>
      <w:rFonts w:ascii="Palatino" w:hAnsi="Palatino"/>
      <w:caps/>
      <w:sz w:val="28"/>
    </w:rPr>
  </w:style>
  <w:style w:type="paragraph" w:customStyle="1" w:styleId="HeaderBase">
    <w:name w:val="Header Base"/>
    <w:rsid w:val="001C0203"/>
    <w:rPr>
      <w:rFonts w:ascii="Book Antiqua" w:hAnsi="Book Antiqua"/>
      <w:i/>
    </w:rPr>
  </w:style>
  <w:style w:type="paragraph" w:customStyle="1" w:styleId="HeaderEven">
    <w:name w:val="Header Even"/>
    <w:basedOn w:val="HeaderBase"/>
    <w:rsid w:val="001C0203"/>
  </w:style>
  <w:style w:type="paragraph" w:customStyle="1" w:styleId="HeaderOdd">
    <w:name w:val="Header Odd"/>
    <w:basedOn w:val="HeaderBase"/>
    <w:rsid w:val="001C0203"/>
    <w:pPr>
      <w:jc w:val="right"/>
    </w:pPr>
  </w:style>
  <w:style w:type="paragraph" w:customStyle="1" w:styleId="FooterBase">
    <w:name w:val="Footer Base"/>
    <w:rsid w:val="001C0203"/>
    <w:pPr>
      <w:jc w:val="center"/>
    </w:pPr>
    <w:rPr>
      <w:rFonts w:ascii="Arial" w:hAnsi="Arial"/>
    </w:rPr>
  </w:style>
  <w:style w:type="paragraph" w:styleId="DocumentMap">
    <w:name w:val="Document Map"/>
    <w:basedOn w:val="Normal"/>
    <w:link w:val="DocumentMapChar"/>
    <w:rsid w:val="001C0203"/>
    <w:pPr>
      <w:shd w:val="clear" w:color="auto" w:fill="000080"/>
    </w:pPr>
    <w:rPr>
      <w:rFonts w:ascii="Tahoma" w:hAnsi="Tahoma" w:cs="Tahoma"/>
    </w:rPr>
  </w:style>
  <w:style w:type="character" w:customStyle="1" w:styleId="DocumentMapChar">
    <w:name w:val="Document Map Char"/>
    <w:basedOn w:val="DefaultParagraphFont"/>
    <w:link w:val="DocumentMap"/>
    <w:locked/>
    <w:rsid w:val="008853C0"/>
    <w:rPr>
      <w:rFonts w:ascii="Tahoma" w:hAnsi="Tahoma" w:cs="Tahoma"/>
      <w:sz w:val="20"/>
      <w:szCs w:val="20"/>
      <w:shd w:val="clear" w:color="auto" w:fill="000080"/>
    </w:rPr>
  </w:style>
  <w:style w:type="character" w:styleId="EndnoteReference">
    <w:name w:val="endnote reference"/>
    <w:basedOn w:val="DefaultParagraphFont"/>
    <w:rsid w:val="001C0203"/>
    <w:rPr>
      <w:vertAlign w:val="superscript"/>
    </w:rPr>
  </w:style>
  <w:style w:type="paragraph" w:styleId="EndnoteText">
    <w:name w:val="endnote text"/>
    <w:basedOn w:val="Normal"/>
    <w:link w:val="EndnoteTextChar"/>
    <w:rsid w:val="001C0203"/>
  </w:style>
  <w:style w:type="character" w:customStyle="1" w:styleId="EndnoteTextChar">
    <w:name w:val="Endnote Text Char"/>
    <w:basedOn w:val="DefaultParagraphFont"/>
    <w:link w:val="EndnoteText"/>
    <w:locked/>
    <w:rsid w:val="008853C0"/>
    <w:rPr>
      <w:rFonts w:ascii="Book Antiqua" w:hAnsi="Book Antiqua"/>
      <w:sz w:val="20"/>
      <w:szCs w:val="20"/>
    </w:rPr>
  </w:style>
  <w:style w:type="character" w:styleId="FootnoteReference">
    <w:name w:val="footnote reference"/>
    <w:basedOn w:val="DefaultParagraphFont"/>
    <w:rsid w:val="001C0203"/>
    <w:rPr>
      <w:vertAlign w:val="superscript"/>
    </w:rPr>
  </w:style>
  <w:style w:type="paragraph" w:styleId="FootnoteText">
    <w:name w:val="footnote text"/>
    <w:basedOn w:val="Normal"/>
    <w:link w:val="FootnoteTextChar"/>
    <w:rsid w:val="001C0203"/>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locked/>
    <w:rsid w:val="008853C0"/>
    <w:rPr>
      <w:rFonts w:ascii="Book Antiqua" w:hAnsi="Book Antiqua"/>
      <w:sz w:val="18"/>
      <w:szCs w:val="20"/>
    </w:rPr>
  </w:style>
  <w:style w:type="paragraph" w:styleId="Index1">
    <w:name w:val="index 1"/>
    <w:basedOn w:val="Normal"/>
    <w:next w:val="Normal"/>
    <w:autoRedefine/>
    <w:rsid w:val="001C0203"/>
    <w:pPr>
      <w:ind w:left="200" w:hanging="200"/>
    </w:pPr>
  </w:style>
  <w:style w:type="paragraph" w:styleId="Index2">
    <w:name w:val="index 2"/>
    <w:basedOn w:val="Normal"/>
    <w:next w:val="Normal"/>
    <w:autoRedefine/>
    <w:rsid w:val="001C0203"/>
    <w:pPr>
      <w:ind w:left="400" w:hanging="200"/>
    </w:pPr>
  </w:style>
  <w:style w:type="paragraph" w:styleId="Index3">
    <w:name w:val="index 3"/>
    <w:basedOn w:val="Normal"/>
    <w:next w:val="Normal"/>
    <w:autoRedefine/>
    <w:rsid w:val="001C0203"/>
    <w:pPr>
      <w:ind w:left="600" w:hanging="200"/>
    </w:pPr>
  </w:style>
  <w:style w:type="paragraph" w:styleId="Index4">
    <w:name w:val="index 4"/>
    <w:basedOn w:val="Normal"/>
    <w:next w:val="Normal"/>
    <w:autoRedefine/>
    <w:rsid w:val="001C0203"/>
    <w:pPr>
      <w:ind w:left="800" w:hanging="200"/>
    </w:pPr>
  </w:style>
  <w:style w:type="paragraph" w:styleId="Index5">
    <w:name w:val="index 5"/>
    <w:basedOn w:val="Normal"/>
    <w:next w:val="Normal"/>
    <w:autoRedefine/>
    <w:rsid w:val="001C0203"/>
    <w:pPr>
      <w:ind w:left="1000" w:hanging="200"/>
    </w:pPr>
  </w:style>
  <w:style w:type="paragraph" w:styleId="Index6">
    <w:name w:val="index 6"/>
    <w:basedOn w:val="Normal"/>
    <w:next w:val="Normal"/>
    <w:autoRedefine/>
    <w:rsid w:val="001C0203"/>
    <w:pPr>
      <w:ind w:left="1200" w:hanging="200"/>
    </w:pPr>
  </w:style>
  <w:style w:type="paragraph" w:styleId="Index7">
    <w:name w:val="index 7"/>
    <w:basedOn w:val="Normal"/>
    <w:next w:val="Normal"/>
    <w:autoRedefine/>
    <w:rsid w:val="001C0203"/>
    <w:pPr>
      <w:ind w:left="1400" w:hanging="200"/>
    </w:pPr>
  </w:style>
  <w:style w:type="paragraph" w:styleId="Index8">
    <w:name w:val="index 8"/>
    <w:basedOn w:val="Normal"/>
    <w:next w:val="Normal"/>
    <w:autoRedefine/>
    <w:rsid w:val="001C0203"/>
    <w:pPr>
      <w:ind w:left="1600" w:hanging="200"/>
    </w:pPr>
  </w:style>
  <w:style w:type="paragraph" w:styleId="Index9">
    <w:name w:val="index 9"/>
    <w:basedOn w:val="Normal"/>
    <w:next w:val="Normal"/>
    <w:autoRedefine/>
    <w:rsid w:val="001C0203"/>
    <w:pPr>
      <w:ind w:left="1800" w:hanging="200"/>
    </w:pPr>
  </w:style>
  <w:style w:type="paragraph" w:styleId="IndexHeading">
    <w:name w:val="index heading"/>
    <w:basedOn w:val="Normal"/>
    <w:next w:val="Index1"/>
    <w:rsid w:val="001C0203"/>
    <w:rPr>
      <w:rFonts w:ascii="Arial" w:hAnsi="Arial" w:cs="Arial"/>
      <w:b/>
      <w:bCs/>
    </w:rPr>
  </w:style>
  <w:style w:type="paragraph" w:styleId="MacroText">
    <w:name w:val="macro"/>
    <w:link w:val="MacroTextChar"/>
    <w:rsid w:val="001C020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character" w:customStyle="1" w:styleId="MacroTextChar">
    <w:name w:val="Macro Text Char"/>
    <w:basedOn w:val="DefaultParagraphFont"/>
    <w:link w:val="MacroText"/>
    <w:locked/>
    <w:rsid w:val="008853C0"/>
    <w:rPr>
      <w:rFonts w:ascii="Courier New" w:hAnsi="Courier New" w:cs="Courier New"/>
      <w:lang w:val="en-AU" w:eastAsia="en-AU" w:bidi="ar-SA"/>
    </w:rPr>
  </w:style>
  <w:style w:type="paragraph" w:styleId="TableofAuthorities">
    <w:name w:val="table of authorities"/>
    <w:basedOn w:val="Normal"/>
    <w:next w:val="Normal"/>
    <w:rsid w:val="001C0203"/>
    <w:pPr>
      <w:ind w:left="200" w:hanging="200"/>
    </w:pPr>
  </w:style>
  <w:style w:type="paragraph" w:styleId="TableofFigures">
    <w:name w:val="table of figures"/>
    <w:basedOn w:val="Normal"/>
    <w:next w:val="Normal"/>
    <w:rsid w:val="001C0203"/>
  </w:style>
  <w:style w:type="paragraph" w:styleId="TOAHeading">
    <w:name w:val="toa heading"/>
    <w:basedOn w:val="Normal"/>
    <w:next w:val="Normal"/>
    <w:rsid w:val="001C0203"/>
    <w:pPr>
      <w:spacing w:before="120"/>
    </w:pPr>
    <w:rPr>
      <w:rFonts w:ascii="Arial" w:hAnsi="Arial" w:cs="Arial"/>
      <w:b/>
      <w:bCs/>
      <w:sz w:val="24"/>
      <w:szCs w:val="24"/>
    </w:rPr>
  </w:style>
  <w:style w:type="paragraph" w:styleId="TOC3">
    <w:name w:val="toc 3"/>
    <w:basedOn w:val="HeadingBase"/>
    <w:next w:val="Normal"/>
    <w:locked/>
    <w:rsid w:val="001C0203"/>
    <w:pPr>
      <w:tabs>
        <w:tab w:val="right" w:leader="dot" w:pos="7700"/>
      </w:tabs>
      <w:spacing w:before="180"/>
      <w:ind w:right="851"/>
    </w:pPr>
    <w:rPr>
      <w:b/>
      <w:sz w:val="20"/>
    </w:rPr>
  </w:style>
  <w:style w:type="paragraph" w:styleId="TOC4">
    <w:name w:val="toc 4"/>
    <w:basedOn w:val="HeadingBase"/>
    <w:next w:val="Normal"/>
    <w:locked/>
    <w:rsid w:val="001C0203"/>
    <w:pPr>
      <w:tabs>
        <w:tab w:val="right" w:leader="dot" w:pos="7700"/>
      </w:tabs>
      <w:spacing w:before="40"/>
      <w:ind w:right="851"/>
    </w:pPr>
    <w:rPr>
      <w:sz w:val="20"/>
    </w:rPr>
  </w:style>
  <w:style w:type="paragraph" w:styleId="TOC5">
    <w:name w:val="toc 5"/>
    <w:basedOn w:val="Normal"/>
    <w:next w:val="Normal"/>
    <w:autoRedefine/>
    <w:locked/>
    <w:rsid w:val="001C0203"/>
    <w:pPr>
      <w:ind w:left="800"/>
    </w:pPr>
  </w:style>
  <w:style w:type="paragraph" w:styleId="TOC6">
    <w:name w:val="toc 6"/>
    <w:basedOn w:val="Normal"/>
    <w:next w:val="Normal"/>
    <w:autoRedefine/>
    <w:locked/>
    <w:rsid w:val="001C0203"/>
    <w:pPr>
      <w:ind w:left="1000"/>
    </w:pPr>
  </w:style>
  <w:style w:type="paragraph" w:styleId="TOC7">
    <w:name w:val="toc 7"/>
    <w:basedOn w:val="Normal"/>
    <w:next w:val="Normal"/>
    <w:autoRedefine/>
    <w:locked/>
    <w:rsid w:val="001C0203"/>
    <w:pPr>
      <w:ind w:left="1200"/>
    </w:pPr>
  </w:style>
  <w:style w:type="paragraph" w:styleId="TOC8">
    <w:name w:val="toc 8"/>
    <w:basedOn w:val="Normal"/>
    <w:next w:val="Normal"/>
    <w:autoRedefine/>
    <w:locked/>
    <w:rsid w:val="001C0203"/>
    <w:pPr>
      <w:ind w:left="1400"/>
    </w:pPr>
  </w:style>
  <w:style w:type="paragraph" w:styleId="TOC9">
    <w:name w:val="toc 9"/>
    <w:basedOn w:val="Normal"/>
    <w:next w:val="Normal"/>
    <w:autoRedefine/>
    <w:locked/>
    <w:rsid w:val="001C0203"/>
    <w:pPr>
      <w:ind w:left="1600"/>
    </w:pPr>
  </w:style>
  <w:style w:type="character" w:customStyle="1" w:styleId="FramedHeader">
    <w:name w:val="Framed Header"/>
    <w:basedOn w:val="DefaultParagraphFont"/>
    <w:rsid w:val="001C0203"/>
    <w:rPr>
      <w:rFonts w:ascii="Book Antiqua" w:hAnsi="Book Antiqua"/>
      <w:i/>
      <w:dstrike w:val="0"/>
      <w:color w:val="auto"/>
      <w:sz w:val="18"/>
      <w:vertAlign w:val="baseline"/>
    </w:rPr>
  </w:style>
  <w:style w:type="paragraph" w:styleId="NormalIndent">
    <w:name w:val="Normal Indent"/>
    <w:basedOn w:val="Normal"/>
    <w:uiPriority w:val="99"/>
    <w:rsid w:val="001C0203"/>
    <w:pPr>
      <w:ind w:left="567"/>
    </w:pPr>
  </w:style>
  <w:style w:type="paragraph" w:customStyle="1" w:styleId="BlockedQuotation">
    <w:name w:val="Blocked Quotation"/>
    <w:basedOn w:val="Normal"/>
    <w:rsid w:val="001C0203"/>
    <w:pPr>
      <w:ind w:left="567"/>
    </w:pPr>
  </w:style>
  <w:style w:type="paragraph" w:customStyle="1" w:styleId="ChartMainHeading">
    <w:name w:val="Chart Main Heading"/>
    <w:basedOn w:val="Normal"/>
    <w:next w:val="ChartGraphic"/>
    <w:rsid w:val="001C0203"/>
    <w:pPr>
      <w:keepNext/>
      <w:spacing w:before="120" w:after="20" w:line="240" w:lineRule="auto"/>
      <w:jc w:val="center"/>
    </w:pPr>
    <w:rPr>
      <w:rFonts w:ascii="Arial Bold" w:hAnsi="Arial Bold"/>
      <w:b/>
    </w:rPr>
  </w:style>
  <w:style w:type="paragraph" w:customStyle="1" w:styleId="BoxHeadingContinued">
    <w:name w:val="Box Heading Continued"/>
    <w:basedOn w:val="BoxHeading"/>
    <w:rsid w:val="001C0203"/>
    <w:pPr>
      <w:pageBreakBefore/>
    </w:pPr>
  </w:style>
  <w:style w:type="paragraph" w:customStyle="1" w:styleId="SecurityClassificationHeader">
    <w:name w:val="Security Classification Header"/>
    <w:link w:val="SecurityClassificationHeaderChar"/>
    <w:rsid w:val="00097846"/>
    <w:pPr>
      <w:spacing w:after="240"/>
      <w:jc w:val="center"/>
    </w:pPr>
    <w:rPr>
      <w:b/>
      <w:i/>
      <w:caps/>
      <w:sz w:val="24"/>
    </w:rPr>
  </w:style>
  <w:style w:type="character" w:customStyle="1" w:styleId="SecurityClassificationHeaderChar">
    <w:name w:val="Security Classification Header Char"/>
    <w:basedOn w:val="HeaderChar"/>
    <w:link w:val="SecurityClassificationHeader"/>
    <w:rsid w:val="00097846"/>
    <w:rPr>
      <w:rFonts w:ascii="Book Antiqua" w:hAnsi="Book Antiqua"/>
      <w:b/>
      <w:i/>
      <w:caps/>
      <w:sz w:val="24"/>
      <w:szCs w:val="20"/>
      <w:lang w:val="en-AU" w:eastAsia="en-AU" w:bidi="ar-SA"/>
    </w:rPr>
  </w:style>
  <w:style w:type="character" w:customStyle="1" w:styleId="DoubleDotChar">
    <w:name w:val="Double Dot Char"/>
    <w:basedOn w:val="DefaultParagraphFont"/>
    <w:link w:val="DoubleDot"/>
    <w:rsid w:val="00821CEA"/>
    <w:rPr>
      <w:rFonts w:ascii="Book Antiqua" w:hAnsi="Book Antiqua"/>
      <w:sz w:val="20"/>
      <w:szCs w:val="20"/>
    </w:rPr>
  </w:style>
  <w:style w:type="numbering" w:customStyle="1" w:styleId="CABNETList1">
    <w:name w:val="CABNET List1"/>
    <w:rsid w:val="00821CEA"/>
    <w:pPr>
      <w:numPr>
        <w:numId w:val="21"/>
      </w:numPr>
    </w:pPr>
  </w:style>
  <w:style w:type="character" w:customStyle="1" w:styleId="BulletChar">
    <w:name w:val="Bullet Char"/>
    <w:basedOn w:val="DefaultParagraphFont"/>
    <w:link w:val="Bullet"/>
    <w:rsid w:val="00BC1DF0"/>
    <w:rPr>
      <w:rFonts w:ascii="Book Antiqua" w:hAnsi="Book Antiqua"/>
    </w:rPr>
  </w:style>
  <w:style w:type="paragraph" w:customStyle="1" w:styleId="OutlineNumbered1">
    <w:name w:val="Outline Numbered 1"/>
    <w:basedOn w:val="Normal"/>
    <w:rsid w:val="009F3476"/>
    <w:pPr>
      <w:numPr>
        <w:numId w:val="24"/>
      </w:numPr>
      <w:spacing w:line="240" w:lineRule="auto"/>
      <w:jc w:val="left"/>
    </w:pPr>
    <w:rPr>
      <w:rFonts w:ascii="Calibri" w:eastAsia="Calibri" w:hAnsi="Calibri"/>
      <w:sz w:val="22"/>
      <w:szCs w:val="22"/>
      <w:lang w:eastAsia="en-US"/>
    </w:rPr>
  </w:style>
  <w:style w:type="paragraph" w:customStyle="1" w:styleId="OutlineNumbered2">
    <w:name w:val="Outline Numbered 2"/>
    <w:basedOn w:val="Normal"/>
    <w:rsid w:val="009F3476"/>
    <w:pPr>
      <w:numPr>
        <w:ilvl w:val="1"/>
        <w:numId w:val="24"/>
      </w:numPr>
      <w:spacing w:line="240" w:lineRule="auto"/>
      <w:jc w:val="left"/>
    </w:pPr>
    <w:rPr>
      <w:rFonts w:ascii="Calibri" w:eastAsia="Calibri" w:hAnsi="Calibri"/>
      <w:sz w:val="22"/>
      <w:szCs w:val="22"/>
      <w:lang w:eastAsia="en-US"/>
    </w:rPr>
  </w:style>
  <w:style w:type="paragraph" w:customStyle="1" w:styleId="OutlineNumbered3">
    <w:name w:val="Outline Numbered 3"/>
    <w:basedOn w:val="Normal"/>
    <w:link w:val="OutlineNumbered3Char"/>
    <w:rsid w:val="009F3476"/>
    <w:pPr>
      <w:numPr>
        <w:ilvl w:val="2"/>
        <w:numId w:val="24"/>
      </w:numPr>
      <w:spacing w:line="240" w:lineRule="auto"/>
      <w:jc w:val="left"/>
    </w:pPr>
    <w:rPr>
      <w:rFonts w:ascii="Calibri" w:eastAsia="Calibri" w:hAnsi="Calibri"/>
      <w:sz w:val="22"/>
      <w:szCs w:val="22"/>
      <w:lang w:eastAsia="en-US"/>
    </w:rPr>
  </w:style>
  <w:style w:type="character" w:customStyle="1" w:styleId="OutlineNumbered3Char">
    <w:name w:val="Outline Numbered 3 Char"/>
    <w:basedOn w:val="BulletChar"/>
    <w:link w:val="OutlineNumbered3"/>
    <w:rsid w:val="009F3476"/>
    <w:rPr>
      <w:rFonts w:ascii="Calibri" w:eastAsia="Calibri" w:hAnsi="Calibri"/>
      <w:sz w:val="20"/>
      <w:szCs w:val="20"/>
      <w:lang w:eastAsia="en-US"/>
    </w:rPr>
  </w:style>
  <w:style w:type="paragraph" w:styleId="Revision">
    <w:name w:val="Revision"/>
    <w:hidden/>
    <w:uiPriority w:val="99"/>
    <w:semiHidden/>
    <w:rsid w:val="00DD3DB3"/>
    <w:rPr>
      <w:rFonts w:ascii="Book Antiqua" w:hAnsi="Book Antiqua"/>
    </w:rPr>
  </w:style>
  <w:style w:type="paragraph" w:customStyle="1" w:styleId="measure-title1">
    <w:name w:val="measure-title1"/>
    <w:basedOn w:val="Normal"/>
    <w:rsid w:val="00DD2B2E"/>
    <w:pPr>
      <w:spacing w:before="480" w:line="336" w:lineRule="atLeast"/>
    </w:pPr>
    <w:rPr>
      <w:rFonts w:ascii="Times New Roman" w:hAnsi="Times New Roman"/>
      <w:b/>
      <w:bCs/>
      <w:sz w:val="23"/>
      <w:szCs w:val="23"/>
    </w:rPr>
  </w:style>
  <w:style w:type="table" w:customStyle="1" w:styleId="TableGrid1">
    <w:name w:val="Table Grid1"/>
    <w:basedOn w:val="TableNormal"/>
    <w:next w:val="TableGrid"/>
    <w:uiPriority w:val="59"/>
    <w:rsid w:val="005321F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3FE"/>
    <w:pPr>
      <w:autoSpaceDE w:val="0"/>
      <w:autoSpaceDN w:val="0"/>
      <w:adjustRightInd w:val="0"/>
    </w:pPr>
    <w:rPr>
      <w:rFonts w:ascii="Book Antiqua" w:hAnsi="Book Antiqua" w:cs="Book Antiqua"/>
      <w:color w:val="000000"/>
      <w:sz w:val="24"/>
      <w:szCs w:val="24"/>
    </w:rPr>
  </w:style>
  <w:style w:type="character" w:styleId="Strong">
    <w:name w:val="Strong"/>
    <w:basedOn w:val="DefaultParagraphFont"/>
    <w:uiPriority w:val="22"/>
    <w:qFormat/>
    <w:locked/>
    <w:rsid w:val="00946EFC"/>
    <w:rPr>
      <w:b/>
      <w:bCs/>
    </w:rPr>
  </w:style>
  <w:style w:type="character" w:styleId="Hyperlink">
    <w:name w:val="Hyperlink"/>
    <w:basedOn w:val="DefaultParagraphFont"/>
    <w:uiPriority w:val="99"/>
    <w:unhideWhenUsed/>
    <w:rsid w:val="00EA516E"/>
    <w:rPr>
      <w:color w:val="0000FF"/>
      <w:u w:val="single"/>
    </w:rPr>
  </w:style>
  <w:style w:type="paragraph" w:styleId="NormalWeb">
    <w:name w:val="Normal (Web)"/>
    <w:basedOn w:val="Normal"/>
    <w:uiPriority w:val="99"/>
    <w:semiHidden/>
    <w:unhideWhenUsed/>
    <w:rsid w:val="00EA516E"/>
    <w:pPr>
      <w:spacing w:before="100" w:beforeAutospacing="1" w:after="100" w:afterAutospacing="1" w:line="240" w:lineRule="auto"/>
      <w:jc w:val="left"/>
    </w:pPr>
    <w:rPr>
      <w:rFonts w:ascii="Times New Roman" w:hAnsi="Times New Roman"/>
      <w:sz w:val="24"/>
      <w:szCs w:val="24"/>
    </w:rPr>
  </w:style>
  <w:style w:type="paragraph" w:styleId="ListParagraph">
    <w:name w:val="List Paragraph"/>
    <w:basedOn w:val="Normal"/>
    <w:uiPriority w:val="34"/>
    <w:qFormat/>
    <w:rsid w:val="0096410D"/>
    <w:pPr>
      <w:ind w:left="720"/>
      <w:contextualSpacing/>
    </w:pPr>
  </w:style>
  <w:style w:type="character" w:styleId="FollowedHyperlink">
    <w:name w:val="FollowedHyperlink"/>
    <w:basedOn w:val="DefaultParagraphFont"/>
    <w:uiPriority w:val="99"/>
    <w:semiHidden/>
    <w:unhideWhenUsed/>
    <w:rsid w:val="003C3C3E"/>
    <w:rPr>
      <w:color w:val="800080" w:themeColor="followedHyperlink"/>
      <w:u w:val="single"/>
    </w:rPr>
  </w:style>
  <w:style w:type="paragraph" w:customStyle="1" w:styleId="Text">
    <w:name w:val="Text"/>
    <w:basedOn w:val="Normal"/>
    <w:link w:val="TextChar"/>
    <w:qFormat/>
    <w:rsid w:val="005E1308"/>
    <w:pPr>
      <w:spacing w:after="0" w:line="240" w:lineRule="auto"/>
      <w:jc w:val="left"/>
    </w:pPr>
    <w:rPr>
      <w:rFonts w:ascii="Verdana" w:eastAsiaTheme="minorHAnsi" w:hAnsi="Verdana" w:cstheme="minorBidi"/>
      <w:lang w:eastAsia="en-US"/>
    </w:rPr>
  </w:style>
  <w:style w:type="paragraph" w:customStyle="1" w:styleId="Headings">
    <w:name w:val="Headings"/>
    <w:basedOn w:val="Text"/>
    <w:link w:val="HeadingsChar"/>
    <w:qFormat/>
    <w:rsid w:val="005E1308"/>
    <w:rPr>
      <w:b/>
      <w:szCs w:val="24"/>
    </w:rPr>
  </w:style>
  <w:style w:type="character" w:customStyle="1" w:styleId="TextChar">
    <w:name w:val="Text Char"/>
    <w:basedOn w:val="DefaultParagraphFont"/>
    <w:link w:val="Text"/>
    <w:rsid w:val="005E1308"/>
    <w:rPr>
      <w:rFonts w:ascii="Verdana" w:eastAsiaTheme="minorHAnsi" w:hAnsi="Verdana" w:cstheme="minorBidi"/>
      <w:lang w:eastAsia="en-US"/>
    </w:rPr>
  </w:style>
  <w:style w:type="character" w:customStyle="1" w:styleId="HeadingsChar">
    <w:name w:val="Headings Char"/>
    <w:basedOn w:val="TextChar"/>
    <w:link w:val="Headings"/>
    <w:rsid w:val="005E1308"/>
    <w:rPr>
      <w:rFonts w:ascii="Verdana" w:eastAsiaTheme="minorHAnsi" w:hAnsi="Verdana" w:cstheme="minorBidi"/>
      <w:b/>
      <w:szCs w:val="24"/>
      <w:lang w:eastAsia="en-US"/>
    </w:rPr>
  </w:style>
  <w:style w:type="paragraph" w:customStyle="1" w:styleId="Table-RowHeadings">
    <w:name w:val="Table - Row Headings"/>
    <w:basedOn w:val="Normal"/>
    <w:link w:val="Table-RowHeadingsChar"/>
    <w:qFormat/>
    <w:rsid w:val="005E1308"/>
    <w:pPr>
      <w:spacing w:after="0" w:line="240" w:lineRule="auto"/>
      <w:jc w:val="left"/>
    </w:pPr>
    <w:rPr>
      <w:rFonts w:ascii="Verdana" w:eastAsiaTheme="minorHAnsi" w:hAnsi="Verdana" w:cstheme="minorBidi"/>
      <w:lang w:eastAsia="en-US"/>
    </w:rPr>
  </w:style>
  <w:style w:type="paragraph" w:customStyle="1" w:styleId="Table-YearlyColumnHeadings">
    <w:name w:val="Table - Yearly Column Headings"/>
    <w:basedOn w:val="Table-RowHeadings"/>
    <w:link w:val="Table-YearlyColumnHeadingsChar"/>
    <w:qFormat/>
    <w:rsid w:val="005E1308"/>
    <w:pPr>
      <w:jc w:val="right"/>
    </w:pPr>
  </w:style>
  <w:style w:type="character" w:customStyle="1" w:styleId="Table-RowHeadingsChar">
    <w:name w:val="Table - Row Headings Char"/>
    <w:basedOn w:val="DefaultParagraphFont"/>
    <w:link w:val="Table-RowHeadings"/>
    <w:rsid w:val="005E1308"/>
    <w:rPr>
      <w:rFonts w:ascii="Verdana" w:eastAsiaTheme="minorHAnsi" w:hAnsi="Verdana" w:cstheme="minorBidi"/>
      <w:lang w:eastAsia="en-US"/>
    </w:rPr>
  </w:style>
  <w:style w:type="paragraph" w:customStyle="1" w:styleId="Tablefigures">
    <w:name w:val="Table figures"/>
    <w:basedOn w:val="Normal"/>
    <w:link w:val="TablefiguresChar"/>
    <w:qFormat/>
    <w:rsid w:val="005E1308"/>
    <w:pPr>
      <w:spacing w:after="0" w:line="240" w:lineRule="auto"/>
      <w:jc w:val="right"/>
    </w:pPr>
    <w:rPr>
      <w:rFonts w:ascii="Verdana" w:eastAsiaTheme="minorHAnsi" w:hAnsi="Verdana" w:cstheme="minorBidi"/>
      <w:sz w:val="18"/>
      <w:szCs w:val="18"/>
      <w:lang w:eastAsia="en-US"/>
    </w:rPr>
  </w:style>
  <w:style w:type="character" w:customStyle="1" w:styleId="Table-YearlyColumnHeadingsChar">
    <w:name w:val="Table - Yearly Column Headings Char"/>
    <w:basedOn w:val="Table-RowHeadingsChar"/>
    <w:link w:val="Table-YearlyColumnHeadings"/>
    <w:rsid w:val="005E1308"/>
    <w:rPr>
      <w:rFonts w:ascii="Verdana" w:eastAsiaTheme="minorHAnsi" w:hAnsi="Verdana" w:cstheme="minorBidi"/>
      <w:lang w:eastAsia="en-US"/>
    </w:rPr>
  </w:style>
  <w:style w:type="character" w:customStyle="1" w:styleId="TablefiguresChar">
    <w:name w:val="Table figures Char"/>
    <w:basedOn w:val="DefaultParagraphFont"/>
    <w:link w:val="Tablefigures"/>
    <w:rsid w:val="005E1308"/>
    <w:rPr>
      <w:rFonts w:ascii="Verdana" w:eastAsiaTheme="minorHAnsi" w:hAnsi="Verdana" w:cstheme="minorBidi"/>
      <w:sz w:val="18"/>
      <w:szCs w:val="18"/>
      <w:lang w:eastAsia="en-US"/>
    </w:rPr>
  </w:style>
  <w:style w:type="paragraph" w:customStyle="1" w:styleId="Notes">
    <w:name w:val="Notes"/>
    <w:basedOn w:val="ChartandTableFootnoteAlpha"/>
    <w:link w:val="NotesChar"/>
    <w:qFormat/>
    <w:rsid w:val="005E1308"/>
    <w:pPr>
      <w:numPr>
        <w:numId w:val="0"/>
      </w:numPr>
      <w:tabs>
        <w:tab w:val="num" w:pos="283"/>
      </w:tabs>
      <w:ind w:left="283" w:hanging="283"/>
    </w:pPr>
    <w:rPr>
      <w:rFonts w:ascii="Verdana" w:hAnsi="Verdana"/>
    </w:rPr>
  </w:style>
  <w:style w:type="character" w:customStyle="1" w:styleId="NotesChar">
    <w:name w:val="Notes Char"/>
    <w:basedOn w:val="DefaultParagraphFont"/>
    <w:link w:val="Notes"/>
    <w:rsid w:val="005E1308"/>
    <w:rPr>
      <w:rFonts w:ascii="Verdana" w:hAnsi="Verdana"/>
      <w:sz w:val="16"/>
    </w:rPr>
  </w:style>
  <w:style w:type="paragraph" w:customStyle="1" w:styleId="PageHeading">
    <w:name w:val="Page Heading"/>
    <w:basedOn w:val="Normal"/>
    <w:qFormat/>
    <w:rsid w:val="005E1308"/>
    <w:pPr>
      <w:spacing w:after="200" w:line="276" w:lineRule="auto"/>
      <w:jc w:val="center"/>
    </w:pPr>
    <w:rPr>
      <w:rFonts w:ascii="Verdana" w:hAnsi="Verdana"/>
      <w:b/>
      <w:sz w:val="32"/>
    </w:rPr>
  </w:style>
  <w:style w:type="paragraph" w:customStyle="1" w:styleId="TextItalicised">
    <w:name w:val="Text Italicised"/>
    <w:basedOn w:val="Normal"/>
    <w:link w:val="TextItalicisedChar"/>
    <w:qFormat/>
    <w:rsid w:val="005E1308"/>
    <w:pPr>
      <w:spacing w:after="0" w:line="240" w:lineRule="auto"/>
      <w:jc w:val="left"/>
    </w:pPr>
    <w:rPr>
      <w:rFonts w:ascii="Verdana" w:eastAsiaTheme="minorHAnsi" w:hAnsi="Verdana" w:cstheme="minorBidi"/>
      <w:i/>
      <w:iCs/>
      <w:lang w:eastAsia="en-US"/>
    </w:rPr>
  </w:style>
  <w:style w:type="character" w:customStyle="1" w:styleId="TextItalicisedChar">
    <w:name w:val="Text Italicised Char"/>
    <w:basedOn w:val="DefaultParagraphFont"/>
    <w:link w:val="TextItalicised"/>
    <w:rsid w:val="005E1308"/>
    <w:rPr>
      <w:rFonts w:ascii="Verdana" w:eastAsiaTheme="minorHAnsi" w:hAnsi="Verdana" w:cstheme="minorBidi"/>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8712">
      <w:bodyDiv w:val="1"/>
      <w:marLeft w:val="0"/>
      <w:marRight w:val="0"/>
      <w:marTop w:val="0"/>
      <w:marBottom w:val="0"/>
      <w:divBdr>
        <w:top w:val="none" w:sz="0" w:space="0" w:color="auto"/>
        <w:left w:val="none" w:sz="0" w:space="0" w:color="auto"/>
        <w:bottom w:val="none" w:sz="0" w:space="0" w:color="auto"/>
        <w:right w:val="none" w:sz="0" w:space="0" w:color="auto"/>
      </w:divBdr>
      <w:divsChild>
        <w:div w:id="997346022">
          <w:marLeft w:val="600"/>
          <w:marRight w:val="600"/>
          <w:marTop w:val="0"/>
          <w:marBottom w:val="0"/>
          <w:divBdr>
            <w:top w:val="single" w:sz="2" w:space="0" w:color="FF0000"/>
            <w:left w:val="single" w:sz="2" w:space="0" w:color="FF0000"/>
            <w:bottom w:val="single" w:sz="2" w:space="0" w:color="FF0000"/>
            <w:right w:val="single" w:sz="2" w:space="0" w:color="FF0000"/>
          </w:divBdr>
        </w:div>
      </w:divsChild>
    </w:div>
    <w:div w:id="210269655">
      <w:bodyDiv w:val="1"/>
      <w:marLeft w:val="0"/>
      <w:marRight w:val="0"/>
      <w:marTop w:val="0"/>
      <w:marBottom w:val="0"/>
      <w:divBdr>
        <w:top w:val="none" w:sz="0" w:space="0" w:color="auto"/>
        <w:left w:val="none" w:sz="0" w:space="0" w:color="auto"/>
        <w:bottom w:val="none" w:sz="0" w:space="0" w:color="auto"/>
        <w:right w:val="none" w:sz="0" w:space="0" w:color="auto"/>
      </w:divBdr>
      <w:divsChild>
        <w:div w:id="1389303196">
          <w:marLeft w:val="0"/>
          <w:marRight w:val="0"/>
          <w:marTop w:val="0"/>
          <w:marBottom w:val="0"/>
          <w:divBdr>
            <w:top w:val="none" w:sz="0" w:space="0" w:color="auto"/>
            <w:left w:val="none" w:sz="0" w:space="0" w:color="auto"/>
            <w:bottom w:val="none" w:sz="0" w:space="0" w:color="auto"/>
            <w:right w:val="none" w:sz="0" w:space="0" w:color="auto"/>
          </w:divBdr>
          <w:divsChild>
            <w:div w:id="9961634">
              <w:marLeft w:val="0"/>
              <w:marRight w:val="0"/>
              <w:marTop w:val="0"/>
              <w:marBottom w:val="0"/>
              <w:divBdr>
                <w:top w:val="none" w:sz="0" w:space="0" w:color="auto"/>
                <w:left w:val="none" w:sz="0" w:space="0" w:color="auto"/>
                <w:bottom w:val="none" w:sz="0" w:space="0" w:color="auto"/>
                <w:right w:val="none" w:sz="0" w:space="0" w:color="auto"/>
              </w:divBdr>
              <w:divsChild>
                <w:div w:id="3697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5819">
      <w:bodyDiv w:val="1"/>
      <w:marLeft w:val="0"/>
      <w:marRight w:val="0"/>
      <w:marTop w:val="0"/>
      <w:marBottom w:val="0"/>
      <w:divBdr>
        <w:top w:val="none" w:sz="0" w:space="0" w:color="auto"/>
        <w:left w:val="none" w:sz="0" w:space="0" w:color="auto"/>
        <w:bottom w:val="none" w:sz="0" w:space="0" w:color="auto"/>
        <w:right w:val="none" w:sz="0" w:space="0" w:color="auto"/>
      </w:divBdr>
      <w:divsChild>
        <w:div w:id="1711032723">
          <w:marLeft w:val="0"/>
          <w:marRight w:val="0"/>
          <w:marTop w:val="0"/>
          <w:marBottom w:val="0"/>
          <w:divBdr>
            <w:top w:val="none" w:sz="0" w:space="0" w:color="auto"/>
            <w:left w:val="none" w:sz="0" w:space="0" w:color="auto"/>
            <w:bottom w:val="none" w:sz="0" w:space="0" w:color="auto"/>
            <w:right w:val="none" w:sz="0" w:space="0" w:color="auto"/>
          </w:divBdr>
          <w:divsChild>
            <w:div w:id="729965144">
              <w:marLeft w:val="0"/>
              <w:marRight w:val="0"/>
              <w:marTop w:val="0"/>
              <w:marBottom w:val="0"/>
              <w:divBdr>
                <w:top w:val="none" w:sz="0" w:space="0" w:color="auto"/>
                <w:left w:val="none" w:sz="0" w:space="0" w:color="auto"/>
                <w:bottom w:val="none" w:sz="0" w:space="0" w:color="auto"/>
                <w:right w:val="none" w:sz="0" w:space="0" w:color="auto"/>
              </w:divBdr>
              <w:divsChild>
                <w:div w:id="102068590">
                  <w:marLeft w:val="3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22881712">
      <w:bodyDiv w:val="1"/>
      <w:marLeft w:val="0"/>
      <w:marRight w:val="0"/>
      <w:marTop w:val="0"/>
      <w:marBottom w:val="0"/>
      <w:divBdr>
        <w:top w:val="none" w:sz="0" w:space="0" w:color="auto"/>
        <w:left w:val="none" w:sz="0" w:space="0" w:color="auto"/>
        <w:bottom w:val="none" w:sz="0" w:space="0" w:color="auto"/>
        <w:right w:val="none" w:sz="0" w:space="0" w:color="auto"/>
      </w:divBdr>
    </w:div>
    <w:div w:id="1602369126">
      <w:bodyDiv w:val="1"/>
      <w:marLeft w:val="0"/>
      <w:marRight w:val="0"/>
      <w:marTop w:val="0"/>
      <w:marBottom w:val="0"/>
      <w:divBdr>
        <w:top w:val="none" w:sz="0" w:space="0" w:color="auto"/>
        <w:left w:val="none" w:sz="0" w:space="0" w:color="auto"/>
        <w:bottom w:val="none" w:sz="0" w:space="0" w:color="auto"/>
        <w:right w:val="none" w:sz="0" w:space="0" w:color="auto"/>
      </w:divBdr>
      <w:divsChild>
        <w:div w:id="963344173">
          <w:marLeft w:val="150"/>
          <w:marRight w:val="150"/>
          <w:marTop w:val="150"/>
          <w:marBottom w:val="150"/>
          <w:divBdr>
            <w:top w:val="single" w:sz="2" w:space="0" w:color="auto"/>
            <w:left w:val="single" w:sz="2" w:space="0" w:color="auto"/>
            <w:bottom w:val="single" w:sz="2" w:space="0" w:color="auto"/>
            <w:right w:val="single" w:sz="2" w:space="0" w:color="auto"/>
          </w:divBdr>
        </w:div>
      </w:divsChild>
    </w:div>
    <w:div w:id="1791850618">
      <w:bodyDiv w:val="1"/>
      <w:marLeft w:val="0"/>
      <w:marRight w:val="0"/>
      <w:marTop w:val="0"/>
      <w:marBottom w:val="0"/>
      <w:divBdr>
        <w:top w:val="none" w:sz="0" w:space="0" w:color="auto"/>
        <w:left w:val="none" w:sz="0" w:space="0" w:color="auto"/>
        <w:bottom w:val="none" w:sz="0" w:space="0" w:color="auto"/>
        <w:right w:val="none" w:sz="0" w:space="0" w:color="auto"/>
      </w:divBdr>
    </w:div>
    <w:div w:id="1880628265">
      <w:bodyDiv w:val="1"/>
      <w:marLeft w:val="0"/>
      <w:marRight w:val="0"/>
      <w:marTop w:val="0"/>
      <w:marBottom w:val="0"/>
      <w:divBdr>
        <w:top w:val="none" w:sz="0" w:space="0" w:color="auto"/>
        <w:left w:val="none" w:sz="0" w:space="0" w:color="auto"/>
        <w:bottom w:val="none" w:sz="0" w:space="0" w:color="auto"/>
        <w:right w:val="none" w:sz="0" w:space="0" w:color="auto"/>
      </w:divBdr>
    </w:div>
    <w:div w:id="21394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CBB09F3E7419694A957E1A5A78204E4D" ma:contentTypeVersion="184" ma:contentTypeDescription="Create a new document." ma:contentTypeScope="" ma:versionID="6718d0d96d90040068238bb7e07b49a4">
  <xsd:schema xmlns:xsd="http://www.w3.org/2001/XMLSchema" xmlns:xs="http://www.w3.org/2001/XMLSchema" xmlns:p="http://schemas.microsoft.com/office/2006/metadata/properties" xmlns:ns1="http://schemas.microsoft.com/sharepoint/v3" xmlns:ns2="82ff9d9b-d3fc-4aad-bc42-9949ee83b815" xmlns:ns3="06f25368-99a9-4d72-b586-c08ad003de0b" targetNamespace="http://schemas.microsoft.com/office/2006/metadata/properties" ma:root="true" ma:fieldsID="1bbee582323605d5035a966cceb70fd5" ns1:_="" ns2:_="" ns3:_="">
    <xsd:import namespace="http://schemas.microsoft.com/sharepoint/v3"/>
    <xsd:import namespace="82ff9d9b-d3fc-4aad-bc42-9949ee83b815"/>
    <xsd:import namespace="06f25368-99a9-4d72-b586-c08ad003de0b"/>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69c4831-fe9b-4d8e-89c7-36409b187116}" ma:internalName="TaxCatchAll" ma:showField="CatchAllData" ma:web="06f25368-99a9-4d72-b586-c08ad003de0b">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69c4831-fe9b-4d8e-89c7-36409b187116}" ma:internalName="TaxCatchAllLabel" ma:readOnly="true" ma:showField="CatchAllDataLabel" ma:web="06f25368-99a9-4d72-b586-c08ad003de0b">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f25368-99a9-4d72-b586-c08ad003de0b"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62</Value>
      <Value>2</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Agriculture</TermName>
          <TermId xmlns="http://schemas.microsoft.com/office/infopath/2007/PartnerControls">5216ebbf-20a3-439d-9ed4-1de39d0a8b30</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06f25368-99a9-4d72-b586-c08ad003de0b">FIN33527-1747701680-102683</_dlc_DocId>
    <_dlc_DocIdUrl xmlns="06f25368-99a9-4d72-b586-c08ad003de0b">
      <Url>https://f1.prdmgd.finance.gov.au/sites/50033527/_layouts/15/DocIdRedir.aspx?ID=FIN33527-1747701680-102683</Url>
      <Description>FIN33527-1747701680-102683</Description>
    </_dlc_DocIdUrl>
    <_dlc_DocIdPersistId xmlns="06f25368-99a9-4d72-b586-c08ad003de0b">true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49258-2414-4D8D-B213-0181BB45B726}">
  <ds:schemaRefs>
    <ds:schemaRef ds:uri="http://schemas.microsoft.com/sharepoint/events"/>
  </ds:schemaRefs>
</ds:datastoreItem>
</file>

<file path=customXml/itemProps2.xml><?xml version="1.0" encoding="utf-8"?>
<ds:datastoreItem xmlns:ds="http://schemas.openxmlformats.org/officeDocument/2006/customXml" ds:itemID="{E4BDC0FE-7CEA-4E31-8D43-6E3BB0FDE01D}">
  <ds:schemaRefs>
    <ds:schemaRef ds:uri="Microsoft.SharePoint.Taxonomy.ContentTypeSync"/>
  </ds:schemaRefs>
</ds:datastoreItem>
</file>

<file path=customXml/itemProps3.xml><?xml version="1.0" encoding="utf-8"?>
<ds:datastoreItem xmlns:ds="http://schemas.openxmlformats.org/officeDocument/2006/customXml" ds:itemID="{5E4A2411-13AA-4890-B185-D39F5E948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06f25368-99a9-4d72-b586-c08ad003d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85039-092C-4B09-8C15-4BFAC4650A51}">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06f25368-99a9-4d72-b586-c08ad003de0b"/>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51D2AB9-2ADD-4AF4-AD5A-8F5E37E613C9}">
  <ds:schemaRefs>
    <ds:schemaRef ds:uri="http://schemas.microsoft.com/sharepoint/v3/contenttype/forms"/>
  </ds:schemaRefs>
</ds:datastoreItem>
</file>

<file path=customXml/itemProps6.xml><?xml version="1.0" encoding="utf-8"?>
<ds:datastoreItem xmlns:ds="http://schemas.openxmlformats.org/officeDocument/2006/customXml" ds:itemID="{B8730437-A2A6-4D39-8130-E26834B7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5541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COA 007 Future Farmer Guarantee Scheme</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 007 Future Farmer Guarantee Scheme</dc:title>
  <dc:subject/>
  <dc:creator/>
  <cp:keywords/>
  <cp:lastModifiedBy/>
  <cp:revision>1</cp:revision>
  <dcterms:created xsi:type="dcterms:W3CDTF">2022-05-09T00:33:00Z</dcterms:created>
  <dcterms:modified xsi:type="dcterms:W3CDTF">2022-05-09T00:34:00Z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0x010100B321FEA60C5BA343A52BC94EC00ABC9E0700CBB09F3E7419694A957E1A5A78204E4D</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OrgUnit">
    <vt:lpwstr>62;#Agriculture|5216ebbf-20a3-439d-9ed4-1de39d0a8b30</vt:lpwstr>
  </property>
  <property fmtid="{D5CDD505-2E9C-101B-9397-08002B2CF9AE}" pid="6" name="InitiatingEntity">
    <vt:lpwstr>2;#Department of Finance|fd660e8f-8f31-49bd-92a3-d31d4da31afe</vt:lpwstr>
  </property>
  <property fmtid="{D5CDD505-2E9C-101B-9397-08002B2CF9AE}" pid="7" name="Function and Activity">
    <vt:lpwstr/>
  </property>
  <property fmtid="{D5CDD505-2E9C-101B-9397-08002B2CF9AE}" pid="8" name="_dlc_DocIdItemGuid">
    <vt:lpwstr>1b29563e-04de-43ce-8e74-e92693d0de71</vt:lpwstr>
  </property>
</Properties>
</file>