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6975" w14:textId="32E686B5" w:rsidR="005E1308" w:rsidRPr="002F34D5" w:rsidRDefault="00463CCE" w:rsidP="005E1308">
      <w:pPr>
        <w:pStyle w:val="PageHeading"/>
        <w:rPr>
          <w:smallCaps/>
          <w:sz w:val="16"/>
          <w:szCs w:val="16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046E8DD" wp14:editId="6657F128">
            <wp:extent cx="1410159" cy="1178342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66" cy="122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7BCD" w14:textId="4ABA50B3" w:rsidR="005E1308" w:rsidRPr="000856CB" w:rsidRDefault="005E1308" w:rsidP="005E1308">
      <w:pPr>
        <w:pStyle w:val="PageHeading"/>
        <w:rPr>
          <w:rFonts w:asciiTheme="minorHAnsi" w:hAnsiTheme="minorHAnsi" w:cstheme="minorHAnsi"/>
          <w:smallCaps/>
          <w:sz w:val="24"/>
          <w:szCs w:val="22"/>
        </w:rPr>
      </w:pPr>
      <w:r w:rsidRPr="000856CB">
        <w:rPr>
          <w:rFonts w:asciiTheme="minorHAnsi" w:hAnsiTheme="minorHAnsi" w:cstheme="minorHAnsi"/>
          <w:smallCaps/>
          <w:sz w:val="24"/>
          <w:szCs w:val="22"/>
        </w:rPr>
        <w:t xml:space="preserve">PUBLIC RELEASE OF </w:t>
      </w:r>
      <w:r w:rsidR="0028439B" w:rsidRPr="000856CB">
        <w:rPr>
          <w:rFonts w:asciiTheme="minorHAnsi" w:hAnsiTheme="minorHAnsi" w:cstheme="minorHAnsi"/>
          <w:smallCaps/>
          <w:sz w:val="24"/>
          <w:szCs w:val="22"/>
        </w:rPr>
        <w:t>2022</w:t>
      </w:r>
      <w:r w:rsidR="00B64970" w:rsidRPr="000856CB">
        <w:rPr>
          <w:rFonts w:asciiTheme="minorHAnsi" w:hAnsiTheme="minorHAnsi" w:cstheme="minorHAnsi"/>
          <w:smallCaps/>
          <w:sz w:val="24"/>
          <w:szCs w:val="22"/>
        </w:rPr>
        <w:t xml:space="preserve"> </w:t>
      </w:r>
      <w:r w:rsidRPr="000856CB">
        <w:rPr>
          <w:rFonts w:asciiTheme="minorHAnsi" w:hAnsiTheme="minorHAnsi" w:cstheme="minorHAnsi"/>
          <w:smallCaps/>
          <w:sz w:val="24"/>
          <w:szCs w:val="22"/>
        </w:rPr>
        <w:t>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6007"/>
      </w:tblGrid>
      <w:tr w:rsidR="005E1308" w:rsidRPr="00976DDC" w14:paraId="1EA915CF" w14:textId="77777777" w:rsidTr="008033F6">
        <w:tc>
          <w:tcPr>
            <w:tcW w:w="5000" w:type="pct"/>
            <w:gridSpan w:val="2"/>
            <w:shd w:val="pct10" w:color="auto" w:fill="auto"/>
          </w:tcPr>
          <w:p w14:paraId="2F74608F" w14:textId="0AB8F798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  <w:r w:rsidR="006C11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61DE5">
              <w:rPr>
                <w:rFonts w:asciiTheme="minorHAnsi" w:hAnsiTheme="minorHAnsi" w:cstheme="minorHAnsi"/>
                <w:b/>
                <w:sz w:val="22"/>
                <w:szCs w:val="22"/>
              </w:rPr>
              <w:t>Defence Industry Pathways Program</w:t>
            </w:r>
          </w:p>
        </w:tc>
      </w:tr>
      <w:tr w:rsidR="005B4E1B" w:rsidRPr="00976DDC" w14:paraId="4391B37C" w14:textId="77777777" w:rsidTr="00916340">
        <w:tc>
          <w:tcPr>
            <w:tcW w:w="1807" w:type="pct"/>
          </w:tcPr>
          <w:p w14:paraId="38D65DCF" w14:textId="1C5D9020" w:rsidR="005B4E1B" w:rsidRDefault="005B4E1B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Identifier: </w:t>
            </w:r>
          </w:p>
        </w:tc>
        <w:tc>
          <w:tcPr>
            <w:tcW w:w="3193" w:type="pct"/>
          </w:tcPr>
          <w:p w14:paraId="12D9AB6A" w14:textId="579F8806" w:rsidR="005B4E1B" w:rsidRPr="00976DDC" w:rsidRDefault="006C11DC" w:rsidP="00021EA7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</w:t>
            </w:r>
            <w:r w:rsidR="00DF64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EA7">
              <w:rPr>
                <w:rFonts w:asciiTheme="minorHAnsi" w:hAnsiTheme="minorHAnsi" w:cstheme="minorHAnsi"/>
                <w:sz w:val="22"/>
                <w:szCs w:val="22"/>
              </w:rPr>
              <w:t>019</w:t>
            </w:r>
          </w:p>
        </w:tc>
      </w:tr>
      <w:tr w:rsidR="005E1308" w:rsidRPr="00976DDC" w14:paraId="5B29E5E7" w14:textId="77777777" w:rsidTr="00916340">
        <w:tc>
          <w:tcPr>
            <w:tcW w:w="1807" w:type="pct"/>
          </w:tcPr>
          <w:p w14:paraId="4EE6280D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3193" w:type="pct"/>
          </w:tcPr>
          <w:p w14:paraId="46953AA0" w14:textId="769DF544" w:rsidR="004325D9" w:rsidRDefault="004E5346" w:rsidP="004E5346">
            <w:pPr>
              <w:pStyle w:val="Text"/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proposal is to </w:t>
            </w:r>
            <w:r w:rsidR="00C0597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provide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$108.5 </w:t>
            </w:r>
            <w:r w:rsidR="006352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illion over four years </w:t>
            </w:r>
            <w:r w:rsidR="001F66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from 2022-23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</w:t>
            </w:r>
            <w:r w:rsidR="00021E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expand the Defence Industry Pathways Program </w:t>
            </w:r>
            <w:r w:rsidR="00E74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DIPP</w:t>
            </w:r>
            <w:r w:rsidR="00E74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021E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develop 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nationwide</w:t>
            </w:r>
            <w:r w:rsidR="00E74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entry level workforce</w:t>
            </w:r>
            <w:r w:rsidR="006B7C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</w:t>
            </w:r>
            <w:r w:rsidR="00BA14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="006B7C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efence </w:t>
            </w:r>
            <w:r w:rsidR="00BA14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="00021E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ndustry</w:t>
            </w:r>
            <w:r w:rsidR="00E07E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with costs to be offset from the Defence Integrated Investment Program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E9B6977" w14:textId="0E7A04F4" w:rsidR="005E1308" w:rsidRPr="003C0C5B" w:rsidRDefault="004E5346" w:rsidP="00FA524F">
            <w:pPr>
              <w:pStyle w:val="Text"/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proposal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builds on the $10 million pilot program which commenced in 2021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It </w:t>
            </w:r>
            <w:r w:rsidR="008E34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will </w:t>
            </w:r>
            <w:r w:rsidR="00C96EA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increase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8E34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DIPP 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intake 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by up to 500 </w:t>
            </w:r>
            <w:r w:rsidR="000E28F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participants 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 year, for</w:t>
            </w:r>
            <w:r w:rsidR="008E34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total </w:t>
            </w:r>
            <w:r w:rsidR="007030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of </w:t>
            </w:r>
            <w:r w:rsidR="008E34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1,500 trainees </w:t>
            </w:r>
            <w:r w:rsidR="001625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by </w:t>
            </w:r>
            <w:r w:rsidR="00FA52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30 </w:t>
            </w:r>
            <w:r w:rsidR="001625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June</w:t>
            </w:r>
            <w:r w:rsidR="00FA52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 w:rsidR="0034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7030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7030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3C0C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would fully 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subsid</w:t>
            </w:r>
            <w:r w:rsidR="000E28F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</w:t>
            </w:r>
            <w:r w:rsidR="00542C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 </w:t>
            </w:r>
            <w:r w:rsidR="003C0C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trainee wages (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approximately </w:t>
            </w:r>
            <w:r w:rsidR="003C0C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$45,000</w:t>
            </w:r>
            <w:r w:rsidR="006B7C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year per trainee</w:t>
            </w:r>
            <w:r w:rsidR="003C0C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and </w:t>
            </w:r>
            <w:r w:rsidR="00AE58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expenses such as </w:t>
            </w:r>
            <w:r w:rsidR="003C0C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 protection equipment.</w:t>
            </w:r>
          </w:p>
        </w:tc>
      </w:tr>
      <w:tr w:rsidR="00BC7798" w:rsidRPr="00976DDC" w14:paraId="6DBB6A19" w14:textId="77777777" w:rsidTr="00916340">
        <w:tc>
          <w:tcPr>
            <w:tcW w:w="1807" w:type="pct"/>
          </w:tcPr>
          <w:p w14:paraId="7165A981" w14:textId="77777777" w:rsidR="00BC7798" w:rsidRPr="00976DDC" w:rsidRDefault="00BC779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3193" w:type="pct"/>
          </w:tcPr>
          <w:p w14:paraId="6424AADA" w14:textId="55380D07" w:rsidR="00BC7798" w:rsidRPr="00976DDC" w:rsidRDefault="00021EA7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Terminating</w:t>
            </w:r>
            <w:r w:rsidR="001F66B4">
              <w:rPr>
                <w:rFonts w:asciiTheme="minorHAnsi" w:hAnsiTheme="minorHAnsi" w:cstheme="minorHAnsi"/>
                <w:sz w:val="22"/>
                <w:szCs w:val="22"/>
              </w:rPr>
              <w:t xml:space="preserve">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 June 2026</w:t>
            </w:r>
            <w:r w:rsidR="004E53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4A480569" w14:textId="77777777" w:rsidTr="00916340">
        <w:tc>
          <w:tcPr>
            <w:tcW w:w="1807" w:type="pct"/>
          </w:tcPr>
          <w:p w14:paraId="49E2396B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3193" w:type="pct"/>
          </w:tcPr>
          <w:p w14:paraId="06C18CED" w14:textId="12037ECF" w:rsidR="005E1308" w:rsidRPr="00976DDC" w:rsidRDefault="004E5346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Minister.</w:t>
            </w:r>
          </w:p>
        </w:tc>
      </w:tr>
      <w:tr w:rsidR="005E1308" w:rsidRPr="00976DDC" w14:paraId="2FB23F26" w14:textId="77777777" w:rsidTr="00916340">
        <w:tc>
          <w:tcPr>
            <w:tcW w:w="1807" w:type="pct"/>
          </w:tcPr>
          <w:p w14:paraId="48047884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3193" w:type="pct"/>
          </w:tcPr>
          <w:p w14:paraId="6E9044F4" w14:textId="11C63B60" w:rsidR="005E1308" w:rsidRPr="00976DDC" w:rsidRDefault="00035D5D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21EA7">
              <w:rPr>
                <w:rFonts w:asciiTheme="minorHAnsi" w:hAnsiTheme="minorHAnsi" w:cstheme="minorHAnsi"/>
                <w:sz w:val="22"/>
                <w:szCs w:val="22"/>
              </w:rPr>
              <w:t xml:space="preserve"> May 2022</w:t>
            </w:r>
            <w:r w:rsidR="00AD70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5C17EE4C" w14:textId="77777777" w:rsidTr="00916340">
        <w:tc>
          <w:tcPr>
            <w:tcW w:w="1807" w:type="pct"/>
          </w:tcPr>
          <w:p w14:paraId="642D6E0B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3193" w:type="pct"/>
          </w:tcPr>
          <w:p w14:paraId="3DE382A6" w14:textId="061BF2C3" w:rsidR="005E1308" w:rsidRPr="00976DDC" w:rsidRDefault="00021EA7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May 2022</w:t>
            </w:r>
            <w:r w:rsidR="00AD70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4EA07882" w14:textId="77777777" w:rsidTr="00916340">
        <w:tc>
          <w:tcPr>
            <w:tcW w:w="1807" w:type="pct"/>
          </w:tcPr>
          <w:p w14:paraId="1D1DCB34" w14:textId="77777777" w:rsidR="005E1308" w:rsidRPr="00BE1925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25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3193" w:type="pct"/>
          </w:tcPr>
          <w:p w14:paraId="1B094B75" w14:textId="0DDC4865" w:rsidR="005E1308" w:rsidRPr="00BE1925" w:rsidRDefault="00815533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5533">
              <w:rPr>
                <w:rFonts w:asciiTheme="minorHAnsi" w:hAnsiTheme="minorHAnsi" w:cstheme="minorHAnsi"/>
                <w:sz w:val="22"/>
                <w:szCs w:val="22"/>
              </w:rPr>
              <w:t xml:space="preserve">16 May 2022. </w:t>
            </w:r>
          </w:p>
        </w:tc>
      </w:tr>
      <w:tr w:rsidR="005E1308" w:rsidRPr="00976DDC" w14:paraId="736E63CF" w14:textId="77777777" w:rsidTr="00916340">
        <w:tc>
          <w:tcPr>
            <w:tcW w:w="1807" w:type="pct"/>
          </w:tcPr>
          <w:p w14:paraId="7D3BE51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3193" w:type="pct"/>
          </w:tcPr>
          <w:p w14:paraId="7DD1C48D" w14:textId="79F6643F" w:rsidR="005E1308" w:rsidRPr="00976DDC" w:rsidRDefault="004E5346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applicable. </w:t>
            </w:r>
          </w:p>
        </w:tc>
      </w:tr>
      <w:tr w:rsidR="005E1308" w:rsidRPr="00976DDC" w14:paraId="366E7F7F" w14:textId="77777777" w:rsidTr="00916340">
        <w:tc>
          <w:tcPr>
            <w:tcW w:w="1807" w:type="pct"/>
          </w:tcPr>
          <w:p w14:paraId="6CF7EF83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3193" w:type="pct"/>
          </w:tcPr>
          <w:p w14:paraId="7EAC6368" w14:textId="4DF2DCB7" w:rsidR="005E1308" w:rsidRPr="00976DDC" w:rsidRDefault="004E5346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applicable. </w:t>
            </w:r>
          </w:p>
        </w:tc>
      </w:tr>
    </w:tbl>
    <w:p w14:paraId="481E0892" w14:textId="77777777" w:rsidR="00C83648" w:rsidRPr="00736211" w:rsidRDefault="00BC7798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b/>
          <w:sz w:val="18"/>
          <w:szCs w:val="22"/>
        </w:rPr>
      </w:pPr>
      <w:r w:rsidRPr="00736211">
        <w:rPr>
          <w:rFonts w:asciiTheme="minorHAnsi" w:hAnsiTheme="minorHAnsi" w:cstheme="minorHAnsi"/>
          <w:sz w:val="18"/>
          <w:szCs w:val="22"/>
        </w:rPr>
        <w:t xml:space="preserve">(a) </w:t>
      </w:r>
      <w:r w:rsidR="00555CBF" w:rsidRPr="00736211">
        <w:rPr>
          <w:rFonts w:asciiTheme="minorHAnsi" w:hAnsiTheme="minorHAnsi" w:cstheme="minorHAnsi"/>
          <w:sz w:val="18"/>
          <w:szCs w:val="22"/>
        </w:rPr>
        <w:t xml:space="preserve">Ongoing policies continue indefinitely (until a decision is made to cease or alter the program). 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Terminating measures end on a date set out in the initial policy and a </w:t>
      </w:r>
      <w:r w:rsidR="00BD64BF" w:rsidRPr="008033F6">
        <w:rPr>
          <w:rFonts w:asciiTheme="minorHAnsi" w:hAnsiTheme="minorHAnsi" w:cstheme="minorHAnsi"/>
          <w:sz w:val="18"/>
        </w:rPr>
        <w:t>further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 decision is required to continue the program beyond this date.  </w:t>
      </w:r>
    </w:p>
    <w:p w14:paraId="433BB649" w14:textId="77777777" w:rsidR="00C83648" w:rsidRPr="00976DDC" w:rsidRDefault="00C83648" w:rsidP="005E1308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64CCE1EA" w14:textId="77777777" w:rsidR="00BC7798" w:rsidRPr="00976DDC" w:rsidRDefault="00BC7798" w:rsidP="00BC7798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>Financial implications (outturn 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CD3EF8" w:rsidRPr="00976DDC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113"/>
        <w:gridCol w:w="1259"/>
        <w:gridCol w:w="1259"/>
        <w:gridCol w:w="1259"/>
        <w:gridCol w:w="1259"/>
        <w:gridCol w:w="1257"/>
      </w:tblGrid>
      <w:tr w:rsidR="00323E35" w:rsidRPr="00916340" w14:paraId="0D2F8992" w14:textId="77777777" w:rsidTr="008B76D1">
        <w:tc>
          <w:tcPr>
            <w:tcW w:w="1655" w:type="pct"/>
            <w:shd w:val="pct10" w:color="auto" w:fill="auto"/>
          </w:tcPr>
          <w:p w14:paraId="2303AE38" w14:textId="77777777" w:rsidR="00323E35" w:rsidRPr="00916340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669" w:type="pct"/>
            <w:shd w:val="pct10" w:color="auto" w:fill="auto"/>
          </w:tcPr>
          <w:p w14:paraId="5F3F5682" w14:textId="0940F8E8" w:rsidR="00323E35" w:rsidRPr="00916340" w:rsidRDefault="00323E35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</w:t>
            </w:r>
            <w:r w:rsidR="00333D12" w:rsidRPr="00916340">
              <w:rPr>
                <w:rFonts w:asciiTheme="minorHAnsi" w:hAnsiTheme="minorHAnsi" w:cstheme="minorHAnsi"/>
                <w:szCs w:val="22"/>
              </w:rPr>
              <w:t>21-22</w:t>
            </w:r>
          </w:p>
        </w:tc>
        <w:tc>
          <w:tcPr>
            <w:tcW w:w="669" w:type="pct"/>
            <w:shd w:val="pct10" w:color="auto" w:fill="auto"/>
          </w:tcPr>
          <w:p w14:paraId="1BE6B3F6" w14:textId="1FB1D1FA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2022-23</w:t>
            </w:r>
          </w:p>
        </w:tc>
        <w:tc>
          <w:tcPr>
            <w:tcW w:w="669" w:type="pct"/>
            <w:shd w:val="pct10" w:color="auto" w:fill="auto"/>
          </w:tcPr>
          <w:p w14:paraId="7C92AC12" w14:textId="66F0660C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2023-24</w:t>
            </w:r>
          </w:p>
        </w:tc>
        <w:tc>
          <w:tcPr>
            <w:tcW w:w="669" w:type="pct"/>
            <w:shd w:val="pct10" w:color="auto" w:fill="auto"/>
          </w:tcPr>
          <w:p w14:paraId="21E0283A" w14:textId="50BFFE3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2024-25</w:t>
            </w:r>
          </w:p>
        </w:tc>
        <w:tc>
          <w:tcPr>
            <w:tcW w:w="668" w:type="pct"/>
            <w:shd w:val="pct10" w:color="auto" w:fill="auto"/>
          </w:tcPr>
          <w:p w14:paraId="2F73EBF3" w14:textId="4391BB2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2025-26</w:t>
            </w:r>
          </w:p>
        </w:tc>
      </w:tr>
      <w:tr w:rsidR="008B76D1" w:rsidRPr="00916340" w14:paraId="035059F7" w14:textId="77777777" w:rsidTr="008B76D1">
        <w:tc>
          <w:tcPr>
            <w:tcW w:w="1655" w:type="pct"/>
          </w:tcPr>
          <w:p w14:paraId="73BD53AB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Underlying Cash Balance (UCB) ($m)</w:t>
            </w:r>
          </w:p>
        </w:tc>
        <w:tc>
          <w:tcPr>
            <w:tcW w:w="669" w:type="pct"/>
          </w:tcPr>
          <w:p w14:paraId="413FB8B6" w14:textId="02A018B5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449E060B" w14:textId="27973C69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7D5AAB5C" w14:textId="61602A3A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1A6CE0AF" w14:textId="49BDAC47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8" w:type="pct"/>
          </w:tcPr>
          <w:p w14:paraId="5DF46194" w14:textId="19F14665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</w:tr>
      <w:tr w:rsidR="008B76D1" w:rsidRPr="00916340" w14:paraId="2AE69659" w14:textId="77777777" w:rsidTr="008B76D1">
        <w:tc>
          <w:tcPr>
            <w:tcW w:w="1655" w:type="pct"/>
          </w:tcPr>
          <w:p w14:paraId="3C97FB20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2D89BC6A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669" w:type="pct"/>
          </w:tcPr>
          <w:p w14:paraId="180E0B6C" w14:textId="69F63F93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6DD8EAB3" w14:textId="7C3527E0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35B0C545" w14:textId="5FD4A9D9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598CC5CD" w14:textId="50A2A5BD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8" w:type="pct"/>
          </w:tcPr>
          <w:p w14:paraId="088D2C3B" w14:textId="2613CDE2" w:rsidR="008B76D1" w:rsidRPr="00916340" w:rsidRDefault="00021EA7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</w:tr>
    </w:tbl>
    <w:p w14:paraId="0B877000" w14:textId="2EB1CDC3" w:rsidR="00F3085D" w:rsidRDefault="008033F6" w:rsidP="00916340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(b) 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A positive number for the fiscal balance indicates an increase in revenue or a decrease in expenses or net capital investment in accrual terms. A positive number for the </w:t>
      </w:r>
      <w:r w:rsidR="00976DDC" w:rsidRPr="00736211">
        <w:rPr>
          <w:rFonts w:asciiTheme="minorHAnsi" w:hAnsiTheme="minorHAnsi" w:cstheme="minorHAnsi"/>
          <w:sz w:val="18"/>
          <w:szCs w:val="22"/>
        </w:rPr>
        <w:t>UCB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</w:t>
      </w:r>
      <w:r w:rsidR="00BC7798" w:rsidRPr="008033F6">
        <w:rPr>
          <w:rFonts w:asciiTheme="minorHAnsi" w:hAnsiTheme="minorHAnsi" w:cstheme="minorHAnsi"/>
          <w:sz w:val="18"/>
        </w:rPr>
        <w:t>indicates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an increase in revenue or a decrease in expenses or net capital investment in cash terms.</w:t>
      </w:r>
    </w:p>
    <w:p w14:paraId="762F7C04" w14:textId="77777777" w:rsidR="00916340" w:rsidRPr="00916340" w:rsidRDefault="00916340" w:rsidP="00916340">
      <w:pPr>
        <w:spacing w:after="0" w:line="240" w:lineRule="auto"/>
      </w:pPr>
    </w:p>
    <w:tbl>
      <w:tblPr>
        <w:tblStyle w:val="TableGrid"/>
        <w:tblW w:w="5000" w:type="pct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02"/>
      </w:tblGrid>
      <w:tr w:rsidR="005E1308" w:rsidRPr="00976DDC" w14:paraId="7AFF7504" w14:textId="77777777" w:rsidTr="008033F6">
        <w:tc>
          <w:tcPr>
            <w:tcW w:w="5000" w:type="pct"/>
          </w:tcPr>
          <w:p w14:paraId="65E05FC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Where relevant, state that the proposal has been costed as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6BC83754" w14:textId="0AE1E690" w:rsidR="005E1308" w:rsidRPr="00976DDC" w:rsidRDefault="003C0C5B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proposal has been costed as a specified amount. </w:t>
            </w:r>
          </w:p>
        </w:tc>
      </w:tr>
      <w:tr w:rsidR="005E1308" w:rsidRPr="00976DDC" w14:paraId="3281B668" w14:textId="77777777" w:rsidTr="008033F6">
        <w:tc>
          <w:tcPr>
            <w:tcW w:w="5000" w:type="pct"/>
          </w:tcPr>
          <w:p w14:paraId="3539230C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6C02624B" w14:textId="5BB698DF" w:rsidR="005E1308" w:rsidRPr="00976DDC" w:rsidRDefault="003C0C5B" w:rsidP="003C0C5B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applicable.</w:t>
            </w:r>
          </w:p>
        </w:tc>
      </w:tr>
      <w:tr w:rsidR="005E1308" w:rsidRPr="00976DDC" w14:paraId="68E7F335" w14:textId="77777777" w:rsidTr="008033F6">
        <w:tc>
          <w:tcPr>
            <w:tcW w:w="5000" w:type="pct"/>
          </w:tcPr>
          <w:p w14:paraId="353F81A2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605CF320" w14:textId="032A50B4" w:rsidR="005E1308" w:rsidRPr="00976DDC" w:rsidRDefault="000B4662" w:rsidP="000B466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applicable. </w:t>
            </w:r>
          </w:p>
        </w:tc>
      </w:tr>
      <w:tr w:rsidR="005E1308" w:rsidRPr="00976DDC" w14:paraId="365B042D" w14:textId="77777777" w:rsidTr="008033F6">
        <w:tc>
          <w:tcPr>
            <w:tcW w:w="5000" w:type="pct"/>
          </w:tcPr>
          <w:p w14:paraId="256A1744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E36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(including reasons for the costing not being comprehensive).</w:t>
            </w:r>
          </w:p>
          <w:p w14:paraId="720B4B77" w14:textId="04186FAE" w:rsidR="00394826" w:rsidRPr="00976DDC" w:rsidRDefault="00DB33F8" w:rsidP="0013449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applicable.</w:t>
            </w:r>
          </w:p>
        </w:tc>
      </w:tr>
      <w:tr w:rsidR="005E1308" w:rsidRPr="00976DDC" w14:paraId="2A45318D" w14:textId="77777777" w:rsidTr="008033F6">
        <w:tc>
          <w:tcPr>
            <w:tcW w:w="5000" w:type="pct"/>
          </w:tcPr>
          <w:p w14:paraId="5CBBF435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3194887F" w14:textId="4CE9693D" w:rsidR="005E1308" w:rsidRPr="00976DDC" w:rsidRDefault="00717AE8" w:rsidP="00717AE8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Departmental costs would be </w:t>
            </w:r>
            <w:r w:rsidRPr="00717AE8">
              <w:rPr>
                <w:rFonts w:asciiTheme="minorHAnsi" w:hAnsiTheme="minorHAnsi" w:cstheme="minorHAnsi"/>
                <w:sz w:val="22"/>
                <w:szCs w:val="22"/>
              </w:rPr>
              <w:t xml:space="preserve">offset from the Defence Integrated Investment Program. </w:t>
            </w:r>
          </w:p>
        </w:tc>
      </w:tr>
      <w:tr w:rsidR="005E1308" w:rsidRPr="00976DDC" w14:paraId="4932DB62" w14:textId="77777777" w:rsidTr="008033F6">
        <w:tc>
          <w:tcPr>
            <w:tcW w:w="5000" w:type="pct"/>
          </w:tcPr>
          <w:p w14:paraId="3B8AB7A7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53B45BCE" w14:textId="5356C6BF" w:rsidR="005E1308" w:rsidRPr="00976DDC" w:rsidRDefault="00D85D69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applicable. </w:t>
            </w:r>
          </w:p>
        </w:tc>
      </w:tr>
      <w:tr w:rsidR="005E1308" w:rsidRPr="00976DDC" w14:paraId="0D7E01A9" w14:textId="77777777" w:rsidTr="008033F6">
        <w:tc>
          <w:tcPr>
            <w:tcW w:w="5000" w:type="pct"/>
          </w:tcPr>
          <w:p w14:paraId="3F170782" w14:textId="77777777" w:rsidR="002215AB" w:rsidRPr="00976DDC" w:rsidRDefault="005E1308" w:rsidP="009B10F2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Style w:val="TextChar"/>
                <w:rFonts w:asciiTheme="minorHAnsi" w:hAnsiTheme="minorHAnsi" w:cstheme="minorHAnsi"/>
                <w:b/>
                <w:sz w:val="22"/>
                <w:szCs w:val="22"/>
              </w:rPr>
              <w:t>Other comments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6DDC">
              <w:rPr>
                <w:rStyle w:val="TextItalicisedChar"/>
                <w:rFonts w:asciiTheme="minorHAnsi" w:hAnsiTheme="minorHAnsi" w:cstheme="minorHAnsi"/>
                <w:b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6"/>
            </w:tblGrid>
            <w:tr w:rsidR="002215AB" w:rsidRPr="00976DDC" w14:paraId="247D300F" w14:textId="77777777" w:rsidTr="008B76D1">
              <w:tc>
                <w:tcPr>
                  <w:tcW w:w="5000" w:type="pct"/>
                </w:tcPr>
                <w:p w14:paraId="7187D5F3" w14:textId="77777777" w:rsidR="002215AB" w:rsidRPr="009B10F2" w:rsidRDefault="002215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term implications of the proposal</w:t>
                  </w:r>
                  <w:r w:rsidR="00C326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(c)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327AF50" w14:textId="37A33A56" w:rsidR="00674C3B" w:rsidRPr="009B10F2" w:rsidRDefault="00D85D69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  <w:r w:rsidR="002D24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ot applicable. </w:t>
                  </w:r>
                </w:p>
              </w:tc>
            </w:tr>
          </w:tbl>
          <w:p w14:paraId="71A9786E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B38DA" w14:textId="0FC9BEB5" w:rsidR="003776ED" w:rsidRPr="008033F6" w:rsidRDefault="008033F6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(c) </w:t>
      </w:r>
      <w:r w:rsidR="002215AB" w:rsidRPr="008033F6">
        <w:rPr>
          <w:rFonts w:asciiTheme="minorHAnsi" w:hAnsiTheme="minorHAnsi" w:cstheme="minorHAnsi"/>
          <w:sz w:val="18"/>
        </w:rPr>
        <w:t>I</w:t>
      </w:r>
      <w:r w:rsidR="00993E99" w:rsidRPr="008033F6">
        <w:rPr>
          <w:rFonts w:asciiTheme="minorHAnsi" w:hAnsiTheme="minorHAnsi" w:cstheme="minorHAnsi"/>
          <w:sz w:val="18"/>
        </w:rPr>
        <w:t xml:space="preserve">nformation on the medium term </w:t>
      </w:r>
      <w:r w:rsidR="002215AB" w:rsidRPr="008033F6">
        <w:rPr>
          <w:rFonts w:asciiTheme="minorHAnsi" w:hAnsiTheme="minorHAnsi" w:cstheme="minorHAnsi"/>
          <w:sz w:val="18"/>
        </w:rPr>
        <w:t xml:space="preserve">implications </w:t>
      </w:r>
      <w:r w:rsidR="00993E99" w:rsidRPr="008033F6">
        <w:rPr>
          <w:rFonts w:asciiTheme="minorHAnsi" w:hAnsiTheme="minorHAnsi" w:cstheme="minorHAnsi"/>
          <w:sz w:val="18"/>
        </w:rPr>
        <w:t xml:space="preserve">will be provided </w:t>
      </w:r>
      <w:r w:rsidR="009A3939" w:rsidRPr="008033F6">
        <w:rPr>
          <w:rFonts w:asciiTheme="minorHAnsi" w:hAnsiTheme="minorHAnsi" w:cstheme="minorHAnsi"/>
          <w:sz w:val="18"/>
        </w:rPr>
        <w:t xml:space="preserve">if the </w:t>
      </w:r>
      <w:r w:rsidR="00CD3EF8" w:rsidRPr="008033F6">
        <w:rPr>
          <w:rFonts w:asciiTheme="minorHAnsi" w:hAnsiTheme="minorHAnsi" w:cstheme="minorHAnsi"/>
          <w:sz w:val="18"/>
        </w:rPr>
        <w:t>cost of the policy is expected to be significantly different beyond the forward estimates period</w:t>
      </w:r>
      <w:r w:rsidR="00D00EA0" w:rsidRPr="008033F6">
        <w:rPr>
          <w:rFonts w:asciiTheme="minorHAnsi" w:hAnsiTheme="minorHAnsi" w:cstheme="minorHAnsi"/>
          <w:sz w:val="18"/>
        </w:rPr>
        <w:t>. The medium term is considered to be the 7 years after the current forward estimates</w:t>
      </w:r>
      <w:r w:rsidR="004C18E1" w:rsidRPr="008033F6">
        <w:rPr>
          <w:rFonts w:asciiTheme="minorHAnsi" w:hAnsiTheme="minorHAnsi" w:cstheme="minorHAnsi"/>
          <w:sz w:val="18"/>
        </w:rPr>
        <w:t>.</w:t>
      </w:r>
      <w:r w:rsidR="004C18E1" w:rsidRPr="008033F6">
        <w:rPr>
          <w:rFonts w:asciiTheme="minorHAnsi" w:hAnsiTheme="minorHAnsi" w:cstheme="minorHAnsi"/>
          <w:sz w:val="18"/>
        </w:rPr>
        <w:br/>
      </w:r>
    </w:p>
    <w:p w14:paraId="01610E57" w14:textId="77777777" w:rsidR="00674C3B" w:rsidRPr="00C3260F" w:rsidRDefault="00674C3B" w:rsidP="00C3260F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5E1308" w:rsidRPr="00976DDC" w14:paraId="75C7C9DE" w14:textId="77777777" w:rsidTr="008033F6">
        <w:tc>
          <w:tcPr>
            <w:tcW w:w="5000" w:type="pct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036FDEED" w14:textId="77777777" w:rsidR="005E1308" w:rsidRPr="00976DDC" w:rsidRDefault="005E1308" w:rsidP="006A3DB1">
            <w:pPr>
              <w:pStyle w:val="Headings"/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2C51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5E1308" w:rsidRPr="00976DDC" w14:paraId="57550064" w14:textId="77777777" w:rsidTr="008033F6">
        <w:tc>
          <w:tcPr>
            <w:tcW w:w="5000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0004FCB" w14:textId="1663C870" w:rsidR="00390778" w:rsidRDefault="005E1308" w:rsidP="006A3D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410B0180" w14:textId="15AD6A4B" w:rsidR="00BA14C3" w:rsidRDefault="00EB2700" w:rsidP="00BA14C3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costing </w:t>
            </w:r>
            <w:r w:rsidR="00BA14C3">
              <w:rPr>
                <w:rFonts w:asciiTheme="minorHAnsi" w:hAnsiTheme="minorHAnsi" w:cstheme="minorHAnsi"/>
                <w:sz w:val="22"/>
                <w:szCs w:val="22"/>
              </w:rPr>
              <w:t xml:space="preserve">assumes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BA14C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446BDF1" w14:textId="5AE4702E" w:rsidR="00BA14C3" w:rsidRDefault="00BA14C3" w:rsidP="00FA524F">
            <w:pPr>
              <w:pStyle w:val="Text"/>
              <w:numPr>
                <w:ilvl w:val="0"/>
                <w:numId w:val="4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B2700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7F7F6E">
              <w:rPr>
                <w:rFonts w:asciiTheme="minorHAnsi" w:hAnsiTheme="minorHAnsi" w:cstheme="minorHAnsi"/>
                <w:sz w:val="22"/>
                <w:szCs w:val="22"/>
              </w:rPr>
              <w:t xml:space="preserve">DIPP </w:t>
            </w:r>
            <w:r w:rsidR="00EB2700">
              <w:rPr>
                <w:rFonts w:asciiTheme="minorHAnsi" w:hAnsiTheme="minorHAnsi" w:cstheme="minorHAnsi"/>
                <w:sz w:val="22"/>
                <w:szCs w:val="22"/>
              </w:rPr>
              <w:t>would be administered by the Department of Defence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FA52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262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7E1A7059" w14:textId="231B2245" w:rsidR="00DF64BE" w:rsidRPr="009F6727" w:rsidRDefault="00332629" w:rsidP="009F6727">
            <w:pPr>
              <w:pStyle w:val="Text"/>
              <w:numPr>
                <w:ilvl w:val="0"/>
                <w:numId w:val="4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specified amount of $108.5 million is paid over four years from 2022-23 with </w:t>
            </w:r>
            <w:r w:rsidR="00BA14C3" w:rsidRPr="00FA524F">
              <w:rPr>
                <w:rFonts w:asciiTheme="minorHAnsi" w:hAnsiTheme="minorHAnsi" w:cstheme="minorHAnsi"/>
                <w:sz w:val="22"/>
                <w:szCs w:val="22"/>
              </w:rPr>
              <w:t>the costs of the proposal</w:t>
            </w:r>
            <w:r w:rsidR="00D64514">
              <w:rPr>
                <w:rFonts w:asciiTheme="minorHAnsi" w:hAnsiTheme="minorHAnsi" w:cstheme="minorHAnsi"/>
                <w:sz w:val="22"/>
                <w:szCs w:val="22"/>
              </w:rPr>
              <w:t xml:space="preserve"> and its administration</w:t>
            </w:r>
            <w:r w:rsidR="00BA14C3" w:rsidRPr="00FA52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A52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4C3" w:rsidRPr="00FA524F">
              <w:rPr>
                <w:rFonts w:asciiTheme="minorHAnsi" w:hAnsiTheme="minorHAnsi" w:cstheme="minorHAnsi"/>
                <w:sz w:val="22"/>
                <w:szCs w:val="22"/>
              </w:rPr>
              <w:t>be offset from</w:t>
            </w:r>
            <w:r w:rsidR="008155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4C3" w:rsidRPr="00FA524F">
              <w:rPr>
                <w:rFonts w:asciiTheme="minorHAnsi" w:hAnsiTheme="minorHAnsi" w:cstheme="minorHAnsi"/>
                <w:sz w:val="22"/>
                <w:szCs w:val="22"/>
              </w:rPr>
              <w:t xml:space="preserve">the Defence Integrated Investment </w:t>
            </w:r>
            <w:r w:rsidR="00FA524F" w:rsidRPr="00FA524F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61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FCD21E" w14:textId="77777777" w:rsidR="000C3665" w:rsidRPr="009B10F2" w:rsidRDefault="000C3665">
      <w:pPr>
        <w:rPr>
          <w:sz w:val="2"/>
        </w:rPr>
      </w:pPr>
    </w:p>
    <w:sectPr w:rsidR="000C3665" w:rsidRPr="009B10F2" w:rsidSect="008033F6">
      <w:footerReference w:type="default" r:id="rId13"/>
      <w:footerReference w:type="first" r:id="rId14"/>
      <w:pgSz w:w="11906" w:h="16838" w:code="9"/>
      <w:pgMar w:top="1021" w:right="1247" w:bottom="1021" w:left="1247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2723" w14:textId="77777777" w:rsidR="00DC5E1F" w:rsidRDefault="00DC5E1F" w:rsidP="0035369B">
      <w:pPr>
        <w:spacing w:after="0" w:line="240" w:lineRule="auto"/>
      </w:pPr>
      <w:r>
        <w:separator/>
      </w:r>
    </w:p>
  </w:endnote>
  <w:endnote w:type="continuationSeparator" w:id="0">
    <w:p w14:paraId="40554F5B" w14:textId="77777777" w:rsidR="00DC5E1F" w:rsidRDefault="00DC5E1F" w:rsidP="0035369B">
      <w:pPr>
        <w:spacing w:after="0" w:line="240" w:lineRule="auto"/>
      </w:pPr>
      <w:r>
        <w:continuationSeparator/>
      </w:r>
    </w:p>
  </w:endnote>
  <w:endnote w:type="continuationNotice" w:id="1">
    <w:p w14:paraId="363F97B0" w14:textId="77777777" w:rsidR="005814A8" w:rsidRDefault="005814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52A4" w14:textId="2C542F03" w:rsidR="00DC5E1F" w:rsidRPr="00916340" w:rsidRDefault="00DC5E1F" w:rsidP="008033F6">
    <w:pPr>
      <w:pStyle w:val="Footer"/>
      <w:rPr>
        <w:rFonts w:asciiTheme="minorHAnsi" w:hAnsiTheme="minorHAnsi" w:cstheme="minorHAnsi"/>
        <w:sz w:val="22"/>
      </w:rPr>
    </w:pPr>
    <w:r w:rsidRPr="00916340">
      <w:rPr>
        <w:rFonts w:asciiTheme="minorHAnsi" w:hAnsiTheme="minorHAnsi" w:cstheme="minorHAnsi"/>
        <w:sz w:val="22"/>
      </w:rPr>
      <w:fldChar w:fldCharType="begin"/>
    </w:r>
    <w:r w:rsidRPr="00916340">
      <w:rPr>
        <w:rFonts w:asciiTheme="minorHAnsi" w:hAnsiTheme="minorHAnsi" w:cstheme="minorHAnsi"/>
        <w:sz w:val="22"/>
      </w:rPr>
      <w:instrText xml:space="preserve"> PAGE   \* MERGEFORMAT </w:instrText>
    </w:r>
    <w:r w:rsidRPr="00916340">
      <w:rPr>
        <w:rFonts w:asciiTheme="minorHAnsi" w:hAnsiTheme="minorHAnsi" w:cstheme="minorHAnsi"/>
        <w:sz w:val="22"/>
      </w:rPr>
      <w:fldChar w:fldCharType="separate"/>
    </w:r>
    <w:r w:rsidR="00027975">
      <w:rPr>
        <w:rFonts w:asciiTheme="minorHAnsi" w:hAnsiTheme="minorHAnsi" w:cstheme="minorHAnsi"/>
        <w:noProof/>
        <w:sz w:val="22"/>
      </w:rPr>
      <w:t>1</w:t>
    </w:r>
    <w:r w:rsidRPr="00916340">
      <w:rPr>
        <w:rFonts w:asciiTheme="minorHAnsi" w:hAnsiTheme="minorHAnsi" w:cstheme="minorHAnsi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DC5E1F" w:rsidRDefault="00DC5E1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DC5E1F" w:rsidRDefault="00DC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16BB" w14:textId="77777777" w:rsidR="00DC5E1F" w:rsidRDefault="00DC5E1F" w:rsidP="0035369B">
      <w:pPr>
        <w:spacing w:after="0" w:line="240" w:lineRule="auto"/>
      </w:pPr>
      <w:r>
        <w:separator/>
      </w:r>
    </w:p>
  </w:footnote>
  <w:footnote w:type="continuationSeparator" w:id="0">
    <w:p w14:paraId="7B0856A2" w14:textId="77777777" w:rsidR="00DC5E1F" w:rsidRDefault="00DC5E1F" w:rsidP="0035369B">
      <w:pPr>
        <w:spacing w:after="0" w:line="240" w:lineRule="auto"/>
      </w:pPr>
      <w:r>
        <w:continuationSeparator/>
      </w:r>
    </w:p>
  </w:footnote>
  <w:footnote w:type="continuationNotice" w:id="1">
    <w:p w14:paraId="4768761D" w14:textId="77777777" w:rsidR="005814A8" w:rsidRDefault="005814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16276"/>
    <w:multiLevelType w:val="hybridMultilevel"/>
    <w:tmpl w:val="78E2E63E"/>
    <w:lvl w:ilvl="0" w:tplc="865AC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1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4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9" w15:restartNumberingAfterBreak="0">
    <w:nsid w:val="690B073E"/>
    <w:multiLevelType w:val="hybridMultilevel"/>
    <w:tmpl w:val="E8FA3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4138A7"/>
    <w:multiLevelType w:val="hybridMultilevel"/>
    <w:tmpl w:val="0D08635E"/>
    <w:lvl w:ilvl="0" w:tplc="982C7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1FAC"/>
    <w:multiLevelType w:val="hybridMultilevel"/>
    <w:tmpl w:val="EB084594"/>
    <w:lvl w:ilvl="0" w:tplc="0A78F4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0"/>
  </w:num>
  <w:num w:numId="5">
    <w:abstractNumId w:val="23"/>
  </w:num>
  <w:num w:numId="6">
    <w:abstractNumId w:val="2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12"/>
  </w:num>
  <w:num w:numId="21">
    <w:abstractNumId w:val="17"/>
  </w:num>
  <w:num w:numId="22">
    <w:abstractNumId w:val="26"/>
  </w:num>
  <w:num w:numId="23">
    <w:abstractNumId w:val="18"/>
  </w:num>
  <w:num w:numId="24">
    <w:abstractNumId w:val="32"/>
  </w:num>
  <w:num w:numId="25">
    <w:abstractNumId w:val="14"/>
  </w:num>
  <w:num w:numId="26">
    <w:abstractNumId w:val="16"/>
  </w:num>
  <w:num w:numId="27">
    <w:abstractNumId w:val="22"/>
  </w:num>
  <w:num w:numId="28">
    <w:abstractNumId w:val="27"/>
  </w:num>
  <w:num w:numId="29">
    <w:abstractNumId w:val="31"/>
  </w:num>
  <w:num w:numId="30">
    <w:abstractNumId w:val="12"/>
  </w:num>
  <w:num w:numId="31">
    <w:abstractNumId w:val="15"/>
  </w:num>
  <w:num w:numId="32">
    <w:abstractNumId w:val="24"/>
  </w:num>
  <w:num w:numId="33">
    <w:abstractNumId w:val="19"/>
  </w:num>
  <w:num w:numId="34">
    <w:abstractNumId w:val="11"/>
  </w:num>
  <w:num w:numId="35">
    <w:abstractNumId w:val="21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33"/>
  </w:num>
  <w:num w:numId="41">
    <w:abstractNumId w:val="10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75F"/>
    <w:rsid w:val="00012821"/>
    <w:rsid w:val="00014B80"/>
    <w:rsid w:val="00020548"/>
    <w:rsid w:val="00021A2B"/>
    <w:rsid w:val="00021EA7"/>
    <w:rsid w:val="0002274E"/>
    <w:rsid w:val="00023E07"/>
    <w:rsid w:val="00023FFB"/>
    <w:rsid w:val="000245ED"/>
    <w:rsid w:val="000260A4"/>
    <w:rsid w:val="0002678F"/>
    <w:rsid w:val="00027975"/>
    <w:rsid w:val="00031226"/>
    <w:rsid w:val="000328B6"/>
    <w:rsid w:val="000331F6"/>
    <w:rsid w:val="000337CC"/>
    <w:rsid w:val="00035D5D"/>
    <w:rsid w:val="00036EF9"/>
    <w:rsid w:val="00041B95"/>
    <w:rsid w:val="00042230"/>
    <w:rsid w:val="0004697C"/>
    <w:rsid w:val="000469CA"/>
    <w:rsid w:val="00050000"/>
    <w:rsid w:val="00050F3F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4A00"/>
    <w:rsid w:val="0008503F"/>
    <w:rsid w:val="000856CB"/>
    <w:rsid w:val="00085761"/>
    <w:rsid w:val="0009338B"/>
    <w:rsid w:val="00094854"/>
    <w:rsid w:val="000961A2"/>
    <w:rsid w:val="00097846"/>
    <w:rsid w:val="000A37E2"/>
    <w:rsid w:val="000A5A25"/>
    <w:rsid w:val="000B224B"/>
    <w:rsid w:val="000B4662"/>
    <w:rsid w:val="000B6334"/>
    <w:rsid w:val="000B7347"/>
    <w:rsid w:val="000C3665"/>
    <w:rsid w:val="000C68E0"/>
    <w:rsid w:val="000D02B6"/>
    <w:rsid w:val="000D1D63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8FF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49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258D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861B0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0E38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66B4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2D9"/>
    <w:rsid w:val="00280A10"/>
    <w:rsid w:val="002811C1"/>
    <w:rsid w:val="0028135B"/>
    <w:rsid w:val="0028250B"/>
    <w:rsid w:val="00282F95"/>
    <w:rsid w:val="00283075"/>
    <w:rsid w:val="0028439B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24FD"/>
    <w:rsid w:val="002D5154"/>
    <w:rsid w:val="002D69F9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2629"/>
    <w:rsid w:val="00333D12"/>
    <w:rsid w:val="00333FAD"/>
    <w:rsid w:val="0033561B"/>
    <w:rsid w:val="0034314D"/>
    <w:rsid w:val="00343675"/>
    <w:rsid w:val="00343C73"/>
    <w:rsid w:val="00346407"/>
    <w:rsid w:val="00347114"/>
    <w:rsid w:val="00352DA5"/>
    <w:rsid w:val="0035369B"/>
    <w:rsid w:val="003538B0"/>
    <w:rsid w:val="003544E2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574D"/>
    <w:rsid w:val="00386404"/>
    <w:rsid w:val="00387ECA"/>
    <w:rsid w:val="0039004E"/>
    <w:rsid w:val="00390057"/>
    <w:rsid w:val="00390778"/>
    <w:rsid w:val="00391B7A"/>
    <w:rsid w:val="0039255B"/>
    <w:rsid w:val="00393D57"/>
    <w:rsid w:val="00394826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0C5B"/>
    <w:rsid w:val="003C2767"/>
    <w:rsid w:val="003C373F"/>
    <w:rsid w:val="003C3C3E"/>
    <w:rsid w:val="003C47E6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25D9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3CCE"/>
    <w:rsid w:val="0046417B"/>
    <w:rsid w:val="00464433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2B83"/>
    <w:rsid w:val="00482C51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2BB"/>
    <w:rsid w:val="004A73F3"/>
    <w:rsid w:val="004A77E8"/>
    <w:rsid w:val="004B20EB"/>
    <w:rsid w:val="004B31AB"/>
    <w:rsid w:val="004B362B"/>
    <w:rsid w:val="004B7EE8"/>
    <w:rsid w:val="004C18E1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5346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2BBB"/>
    <w:rsid w:val="00533300"/>
    <w:rsid w:val="00534EAB"/>
    <w:rsid w:val="005350A6"/>
    <w:rsid w:val="00535283"/>
    <w:rsid w:val="00535D0E"/>
    <w:rsid w:val="00536151"/>
    <w:rsid w:val="005362A5"/>
    <w:rsid w:val="0053655B"/>
    <w:rsid w:val="005373CB"/>
    <w:rsid w:val="00541254"/>
    <w:rsid w:val="005417C7"/>
    <w:rsid w:val="00542B0B"/>
    <w:rsid w:val="00542C6D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149F"/>
    <w:rsid w:val="00561DE5"/>
    <w:rsid w:val="005652AF"/>
    <w:rsid w:val="00565945"/>
    <w:rsid w:val="00565AAE"/>
    <w:rsid w:val="00565C60"/>
    <w:rsid w:val="00566124"/>
    <w:rsid w:val="00566995"/>
    <w:rsid w:val="00566E36"/>
    <w:rsid w:val="00567040"/>
    <w:rsid w:val="00571BE8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4A8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408D"/>
    <w:rsid w:val="005B4E1B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35211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0661"/>
    <w:rsid w:val="00662008"/>
    <w:rsid w:val="0066312E"/>
    <w:rsid w:val="00663803"/>
    <w:rsid w:val="00663D16"/>
    <w:rsid w:val="0066520E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6E1E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5FE"/>
    <w:rsid w:val="00697957"/>
    <w:rsid w:val="006A0C76"/>
    <w:rsid w:val="006A2EFD"/>
    <w:rsid w:val="006A3DB1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B7C88"/>
    <w:rsid w:val="006C11DC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3319"/>
    <w:rsid w:val="006E53BB"/>
    <w:rsid w:val="006E5812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08D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17AE8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211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7667F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2AB1"/>
    <w:rsid w:val="007A337E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475F"/>
    <w:rsid w:val="007E7554"/>
    <w:rsid w:val="007E7727"/>
    <w:rsid w:val="007F1440"/>
    <w:rsid w:val="007F2035"/>
    <w:rsid w:val="007F206C"/>
    <w:rsid w:val="007F6EDF"/>
    <w:rsid w:val="007F7F6E"/>
    <w:rsid w:val="0080094E"/>
    <w:rsid w:val="00802C93"/>
    <w:rsid w:val="008033F6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533"/>
    <w:rsid w:val="00815DE9"/>
    <w:rsid w:val="0081713D"/>
    <w:rsid w:val="00820757"/>
    <w:rsid w:val="00820A5B"/>
    <w:rsid w:val="00820B70"/>
    <w:rsid w:val="00821CEA"/>
    <w:rsid w:val="00823030"/>
    <w:rsid w:val="00826C50"/>
    <w:rsid w:val="0082745D"/>
    <w:rsid w:val="00830179"/>
    <w:rsid w:val="00830EF4"/>
    <w:rsid w:val="00831AC3"/>
    <w:rsid w:val="008335F9"/>
    <w:rsid w:val="0083541B"/>
    <w:rsid w:val="00836092"/>
    <w:rsid w:val="008375BD"/>
    <w:rsid w:val="00837D9E"/>
    <w:rsid w:val="008412B0"/>
    <w:rsid w:val="00841385"/>
    <w:rsid w:val="00841E31"/>
    <w:rsid w:val="00841F04"/>
    <w:rsid w:val="0084588C"/>
    <w:rsid w:val="00845B23"/>
    <w:rsid w:val="00845FF0"/>
    <w:rsid w:val="00846728"/>
    <w:rsid w:val="00846D06"/>
    <w:rsid w:val="00847D31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59E2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5C90"/>
    <w:rsid w:val="008B65FB"/>
    <w:rsid w:val="008B6DB4"/>
    <w:rsid w:val="008B72B3"/>
    <w:rsid w:val="008B76D1"/>
    <w:rsid w:val="008C3DF0"/>
    <w:rsid w:val="008D0BD9"/>
    <w:rsid w:val="008E0212"/>
    <w:rsid w:val="008E080D"/>
    <w:rsid w:val="008E1A22"/>
    <w:rsid w:val="008E336A"/>
    <w:rsid w:val="008E3473"/>
    <w:rsid w:val="008E4357"/>
    <w:rsid w:val="008E4B97"/>
    <w:rsid w:val="008E5A19"/>
    <w:rsid w:val="008E5C18"/>
    <w:rsid w:val="008E6456"/>
    <w:rsid w:val="008E656D"/>
    <w:rsid w:val="008E6827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340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4A89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143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6944"/>
    <w:rsid w:val="009E79EA"/>
    <w:rsid w:val="009F282C"/>
    <w:rsid w:val="009F3476"/>
    <w:rsid w:val="009F6727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025"/>
    <w:rsid w:val="00AD7344"/>
    <w:rsid w:val="00AE0BFF"/>
    <w:rsid w:val="00AE560F"/>
    <w:rsid w:val="00AE582D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0DA6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3F5E"/>
    <w:rsid w:val="00B54A29"/>
    <w:rsid w:val="00B55795"/>
    <w:rsid w:val="00B56C62"/>
    <w:rsid w:val="00B56FC0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5F0D"/>
    <w:rsid w:val="00B96906"/>
    <w:rsid w:val="00B96BA5"/>
    <w:rsid w:val="00B96D69"/>
    <w:rsid w:val="00BA14C3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925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597F"/>
    <w:rsid w:val="00C06C89"/>
    <w:rsid w:val="00C14D45"/>
    <w:rsid w:val="00C1633E"/>
    <w:rsid w:val="00C178F9"/>
    <w:rsid w:val="00C20A2C"/>
    <w:rsid w:val="00C20C51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36DBD"/>
    <w:rsid w:val="00C41D9C"/>
    <w:rsid w:val="00C42315"/>
    <w:rsid w:val="00C4308F"/>
    <w:rsid w:val="00C45288"/>
    <w:rsid w:val="00C45F71"/>
    <w:rsid w:val="00C513C2"/>
    <w:rsid w:val="00C514F8"/>
    <w:rsid w:val="00C51668"/>
    <w:rsid w:val="00C535A5"/>
    <w:rsid w:val="00C53633"/>
    <w:rsid w:val="00C57D43"/>
    <w:rsid w:val="00C605D2"/>
    <w:rsid w:val="00C605D7"/>
    <w:rsid w:val="00C63043"/>
    <w:rsid w:val="00C6372A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6EAA"/>
    <w:rsid w:val="00C97F13"/>
    <w:rsid w:val="00CA0A2E"/>
    <w:rsid w:val="00CA2545"/>
    <w:rsid w:val="00CA6190"/>
    <w:rsid w:val="00CB03F3"/>
    <w:rsid w:val="00CB43E9"/>
    <w:rsid w:val="00CB51A9"/>
    <w:rsid w:val="00CB6D24"/>
    <w:rsid w:val="00CC04EE"/>
    <w:rsid w:val="00CC10BF"/>
    <w:rsid w:val="00CC27DA"/>
    <w:rsid w:val="00CC288B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E345B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B61"/>
    <w:rsid w:val="00D35E0C"/>
    <w:rsid w:val="00D35FAD"/>
    <w:rsid w:val="00D400A5"/>
    <w:rsid w:val="00D4026B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4514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53F"/>
    <w:rsid w:val="00D85D69"/>
    <w:rsid w:val="00D85FC2"/>
    <w:rsid w:val="00D85FCE"/>
    <w:rsid w:val="00D91179"/>
    <w:rsid w:val="00D96FF7"/>
    <w:rsid w:val="00D97492"/>
    <w:rsid w:val="00D97EC1"/>
    <w:rsid w:val="00DA40B1"/>
    <w:rsid w:val="00DA475C"/>
    <w:rsid w:val="00DA4CB1"/>
    <w:rsid w:val="00DA51E6"/>
    <w:rsid w:val="00DA7034"/>
    <w:rsid w:val="00DA7209"/>
    <w:rsid w:val="00DA7D1A"/>
    <w:rsid w:val="00DB277D"/>
    <w:rsid w:val="00DB33F8"/>
    <w:rsid w:val="00DB3562"/>
    <w:rsid w:val="00DB388C"/>
    <w:rsid w:val="00DB558D"/>
    <w:rsid w:val="00DB6594"/>
    <w:rsid w:val="00DB7F8D"/>
    <w:rsid w:val="00DC0CD1"/>
    <w:rsid w:val="00DC0CFA"/>
    <w:rsid w:val="00DC1233"/>
    <w:rsid w:val="00DC486B"/>
    <w:rsid w:val="00DC52B8"/>
    <w:rsid w:val="00DC5441"/>
    <w:rsid w:val="00DC56A2"/>
    <w:rsid w:val="00DC5E1F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4BE"/>
    <w:rsid w:val="00DF6666"/>
    <w:rsid w:val="00E01693"/>
    <w:rsid w:val="00E01F9A"/>
    <w:rsid w:val="00E03945"/>
    <w:rsid w:val="00E03EAC"/>
    <w:rsid w:val="00E06716"/>
    <w:rsid w:val="00E0781D"/>
    <w:rsid w:val="00E07DF5"/>
    <w:rsid w:val="00E07E9D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06E"/>
    <w:rsid w:val="00E222D8"/>
    <w:rsid w:val="00E22B48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4271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700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E7F35"/>
    <w:rsid w:val="00EF2CD2"/>
    <w:rsid w:val="00EF30B5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65B"/>
    <w:rsid w:val="00F7377E"/>
    <w:rsid w:val="00F761DD"/>
    <w:rsid w:val="00F81EF4"/>
    <w:rsid w:val="00F83162"/>
    <w:rsid w:val="00F84AF8"/>
    <w:rsid w:val="00F84E29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24F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814"/>
    <w:rsid w:val="00FC1EBD"/>
    <w:rsid w:val="00FC4E0F"/>
    <w:rsid w:val="00FC572F"/>
    <w:rsid w:val="00FC585E"/>
    <w:rsid w:val="00FC5B9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FIN33527-1747701680-103106</_dlc_DocId>
    <_dlc_DocIdUrl xmlns="06f25368-99a9-4d72-b586-c08ad003de0b">
      <Url>https://f1.prdmgd.finance.gov.au/sites/50033527/_layouts/15/DocIdRedir.aspx?ID=FIN33527-1747701680-103106</Url>
      <Description>FIN33527-1747701680-103106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BDC0FE-7CEA-4E31-8D43-6E3BB0FDE0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8481C9-809A-4D9E-AC7A-827ADBFCF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85039-092C-4B09-8C15-4BFAC4650A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82ff9d9b-d3fc-4aad-bc42-9949ee83b815"/>
    <ds:schemaRef ds:uri="http://schemas.microsoft.com/office/infopath/2007/PartnerControls"/>
    <ds:schemaRef ds:uri="06f25368-99a9-4d72-b586-c08ad003de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1D2AB9-2ADD-4AF4-AD5A-8F5E37E61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849258-2414-4D8D-B213-0181BB45B7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release of costing - pro forma</vt:lpstr>
    </vt:vector>
  </TitlesOfParts>
  <Company/>
  <LinksUpToDate>false</LinksUpToDate>
  <CharactersWithSpaces>3484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release of costing - pro forma</dc:title>
  <dc:subject/>
  <dc:creator/>
  <cp:keywords/>
  <cp:lastModifiedBy/>
  <cp:revision>1</cp:revision>
  <dcterms:created xsi:type="dcterms:W3CDTF">2022-05-16T01:15:00Z</dcterms:created>
  <dcterms:modified xsi:type="dcterms:W3CDTF">2022-05-16T01:15:00Z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1;#Budget Policy and Coordination|17ee49bf-b5ad-4a1d-82f9-550fc395193a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3583f249-8999-46d0-a3f1-6fc5fd7bab4b</vt:lpwstr>
  </property>
  <property fmtid="{D5CDD505-2E9C-101B-9397-08002B2CF9AE}" pid="9" name="DPP">
    <vt:lpwstr/>
  </property>
  <property fmtid="{D5CDD505-2E9C-101B-9397-08002B2CF9AE}" pid="10" name="g30b6d601f624994bd5004651b59f186">
    <vt:lpwstr/>
  </property>
  <property fmtid="{D5CDD505-2E9C-101B-9397-08002B2CF9AE}" pid="11" name="DocumentType">
    <vt:lpwstr/>
  </property>
</Properties>
</file>