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6975" w14:textId="32E686B5" w:rsidR="005E1308" w:rsidRPr="002F34D5" w:rsidRDefault="00463CCE" w:rsidP="005E1308">
      <w:pPr>
        <w:pStyle w:val="PageHeading"/>
        <w:rPr>
          <w:smallCaps/>
          <w:sz w:val="16"/>
          <w:szCs w:val="16"/>
        </w:rPr>
      </w:pPr>
      <w:r>
        <w:rPr>
          <w:noProof/>
          <w:sz w:val="20"/>
        </w:rPr>
        <w:drawing>
          <wp:inline distT="0" distB="0" distL="0" distR="0" wp14:anchorId="2046E8DD" wp14:editId="6657F128">
            <wp:extent cx="1410159" cy="1178342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66" cy="122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27BCD" w14:textId="4ABA50B3" w:rsidR="005E1308" w:rsidRPr="000856CB" w:rsidRDefault="005E1308" w:rsidP="005E1308">
      <w:pPr>
        <w:pStyle w:val="PageHeading"/>
        <w:rPr>
          <w:rFonts w:asciiTheme="minorHAnsi" w:hAnsiTheme="minorHAnsi" w:cstheme="minorHAnsi"/>
          <w:smallCaps/>
          <w:sz w:val="24"/>
          <w:szCs w:val="22"/>
        </w:rPr>
      </w:pPr>
      <w:r w:rsidRPr="000856CB">
        <w:rPr>
          <w:rFonts w:asciiTheme="minorHAnsi" w:hAnsiTheme="minorHAnsi" w:cstheme="minorHAnsi"/>
          <w:smallCaps/>
          <w:sz w:val="24"/>
          <w:szCs w:val="22"/>
        </w:rPr>
        <w:t xml:space="preserve">PUBLIC RELEASE OF </w:t>
      </w:r>
      <w:r w:rsidR="0028439B" w:rsidRPr="000856CB">
        <w:rPr>
          <w:rFonts w:asciiTheme="minorHAnsi" w:hAnsiTheme="minorHAnsi" w:cstheme="minorHAnsi"/>
          <w:smallCaps/>
          <w:sz w:val="24"/>
          <w:szCs w:val="22"/>
        </w:rPr>
        <w:t>2022</w:t>
      </w:r>
      <w:r w:rsidR="00B64970" w:rsidRPr="000856CB">
        <w:rPr>
          <w:rFonts w:asciiTheme="minorHAnsi" w:hAnsiTheme="minorHAnsi" w:cstheme="minorHAnsi"/>
          <w:smallCaps/>
          <w:sz w:val="24"/>
          <w:szCs w:val="22"/>
        </w:rPr>
        <w:t xml:space="preserve"> </w:t>
      </w:r>
      <w:r w:rsidRPr="000856CB">
        <w:rPr>
          <w:rFonts w:asciiTheme="minorHAnsi" w:hAnsiTheme="minorHAnsi" w:cstheme="minorHAnsi"/>
          <w:smallCaps/>
          <w:sz w:val="24"/>
          <w:szCs w:val="22"/>
        </w:rPr>
        <w:t>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6007"/>
      </w:tblGrid>
      <w:tr w:rsidR="005E1308" w:rsidRPr="00976DDC" w14:paraId="1EA915CF" w14:textId="77777777" w:rsidTr="57871538">
        <w:tc>
          <w:tcPr>
            <w:tcW w:w="5000" w:type="pct"/>
            <w:gridSpan w:val="2"/>
            <w:shd w:val="clear" w:color="auto" w:fill="auto"/>
          </w:tcPr>
          <w:p w14:paraId="2F74608F" w14:textId="071A2D55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  <w:r w:rsidR="006C11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514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Freezing Deeming Rates for Two Years </w:t>
            </w:r>
          </w:p>
        </w:tc>
      </w:tr>
      <w:tr w:rsidR="005B4E1B" w:rsidRPr="00976DDC" w14:paraId="4391B37C" w14:textId="77777777" w:rsidTr="57871538">
        <w:tc>
          <w:tcPr>
            <w:tcW w:w="1807" w:type="pct"/>
          </w:tcPr>
          <w:p w14:paraId="38D65DCF" w14:textId="1C5D9020" w:rsidR="005B4E1B" w:rsidRDefault="005B4E1B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Costing Identifier: </w:t>
            </w:r>
          </w:p>
        </w:tc>
        <w:tc>
          <w:tcPr>
            <w:tcW w:w="3193" w:type="pct"/>
          </w:tcPr>
          <w:p w14:paraId="12D9AB6A" w14:textId="087C0D5D" w:rsidR="005B4E1B" w:rsidRPr="00976DDC" w:rsidRDefault="00E25452" w:rsidP="00E2545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</w:t>
            </w:r>
            <w:r w:rsidR="002A11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</w:tr>
      <w:tr w:rsidR="005E1308" w:rsidRPr="00976DDC" w14:paraId="5B29E5E7" w14:textId="77777777" w:rsidTr="57871538">
        <w:tc>
          <w:tcPr>
            <w:tcW w:w="1807" w:type="pct"/>
          </w:tcPr>
          <w:p w14:paraId="4EE6280D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3193" w:type="pct"/>
          </w:tcPr>
          <w:p w14:paraId="6E9B6977" w14:textId="643C9CB5" w:rsidR="00681AE8" w:rsidRPr="009F1CA0" w:rsidRDefault="00660194" w:rsidP="00D45B77">
            <w:pPr>
              <w:pStyle w:val="Text"/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D45B77">
              <w:rPr>
                <w:rFonts w:ascii="Calibri" w:eastAsia="Calibri" w:hAnsi="Calibri" w:cs="Calibri"/>
                <w:sz w:val="22"/>
                <w:szCs w:val="22"/>
              </w:rPr>
              <w:t xml:space="preserve">proposal is 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maintain the current lower deeming rate</w:t>
            </w:r>
            <w:r w:rsidR="00E25452">
              <w:rPr>
                <w:rFonts w:ascii="Calibri" w:eastAsia="Calibri" w:hAnsi="Calibri" w:cs="Calibri"/>
                <w:sz w:val="22"/>
                <w:szCs w:val="22"/>
              </w:rPr>
              <w:t xml:space="preserve"> for social security payment recipients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 0.25 per cent </w:t>
            </w:r>
            <w:r w:rsidR="00E25452">
              <w:rPr>
                <w:rFonts w:ascii="Calibri" w:eastAsia="Calibri" w:hAnsi="Calibri" w:cs="Calibri"/>
                <w:sz w:val="22"/>
                <w:szCs w:val="22"/>
              </w:rPr>
              <w:t xml:space="preserve">for financial investments up to $53,600 for single </w:t>
            </w:r>
            <w:r w:rsidR="00D82209">
              <w:rPr>
                <w:rFonts w:ascii="Calibri" w:eastAsia="Calibri" w:hAnsi="Calibri" w:cs="Calibri"/>
                <w:sz w:val="22"/>
                <w:szCs w:val="22"/>
              </w:rPr>
              <w:t>recipients</w:t>
            </w:r>
            <w:r w:rsidR="00D45B7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25452">
              <w:rPr>
                <w:rFonts w:ascii="Calibri" w:eastAsia="Calibri" w:hAnsi="Calibri" w:cs="Calibri"/>
                <w:sz w:val="22"/>
                <w:szCs w:val="22"/>
              </w:rPr>
              <w:t xml:space="preserve">and $89,000 </w:t>
            </w:r>
            <w:r w:rsidR="00D82209">
              <w:rPr>
                <w:rFonts w:ascii="Calibri" w:eastAsia="Calibri" w:hAnsi="Calibri" w:cs="Calibri"/>
                <w:sz w:val="22"/>
                <w:szCs w:val="22"/>
              </w:rPr>
              <w:t>for recipient</w:t>
            </w:r>
            <w:r w:rsidR="00E25452">
              <w:rPr>
                <w:rFonts w:ascii="Calibri" w:eastAsia="Calibri" w:hAnsi="Calibri" w:cs="Calibri"/>
                <w:sz w:val="22"/>
                <w:szCs w:val="22"/>
              </w:rPr>
              <w:t xml:space="preserve"> couples</w:t>
            </w:r>
            <w:r w:rsidR="00D45B7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E2545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the upper deeming rate at 2.25 per cent</w:t>
            </w:r>
            <w:r w:rsidR="00E25452">
              <w:rPr>
                <w:rFonts w:ascii="Calibri" w:eastAsia="Calibri" w:hAnsi="Calibri" w:cs="Calibri"/>
                <w:sz w:val="22"/>
                <w:szCs w:val="22"/>
              </w:rPr>
              <w:t xml:space="preserve"> on investment assets over the amount of $53,600 or $89,000 respectively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until 30 June 2024.</w:t>
            </w:r>
            <w:bookmarkStart w:id="0" w:name="_GoBack"/>
            <w:bookmarkEnd w:id="0"/>
          </w:p>
        </w:tc>
      </w:tr>
      <w:tr w:rsidR="00BC7798" w:rsidRPr="00976DDC" w14:paraId="6DBB6A19" w14:textId="77777777" w:rsidTr="57871538">
        <w:tc>
          <w:tcPr>
            <w:tcW w:w="1807" w:type="pct"/>
          </w:tcPr>
          <w:p w14:paraId="7165A981" w14:textId="77777777" w:rsidR="00BC7798" w:rsidRPr="00976DDC" w:rsidRDefault="00BC779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Terminating 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3193" w:type="pct"/>
          </w:tcPr>
          <w:p w14:paraId="6424AADA" w14:textId="3D2B4314" w:rsidR="00BC7798" w:rsidRPr="00976DDC" w:rsidRDefault="00835619" w:rsidP="00D45B77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Terminating 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</w:tc>
      </w:tr>
      <w:tr w:rsidR="005E1308" w:rsidRPr="00976DDC" w14:paraId="4A480569" w14:textId="77777777" w:rsidTr="57871538">
        <w:tc>
          <w:tcPr>
            <w:tcW w:w="1807" w:type="pct"/>
          </w:tcPr>
          <w:p w14:paraId="49E2396B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3193" w:type="pct"/>
          </w:tcPr>
          <w:p w14:paraId="06C18CED" w14:textId="7E0AEAF2" w:rsidR="005E1308" w:rsidRPr="00976DDC" w:rsidRDefault="003F787F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Prime Minister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2FB23F26" w14:textId="77777777" w:rsidTr="57871538">
        <w:tc>
          <w:tcPr>
            <w:tcW w:w="1807" w:type="pct"/>
          </w:tcPr>
          <w:p w14:paraId="48047884" w14:textId="77777777" w:rsidR="005E1308" w:rsidRPr="00976DDC" w:rsidRDefault="00976DDC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3193" w:type="pct"/>
          </w:tcPr>
          <w:p w14:paraId="6E9044F4" w14:textId="476D4695" w:rsidR="005E1308" w:rsidRPr="00976DDC" w:rsidRDefault="005602F5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="003F787F">
              <w:rPr>
                <w:rFonts w:asciiTheme="minorHAnsi" w:hAnsiTheme="minorHAnsi" w:cstheme="minorHAnsi"/>
                <w:sz w:val="22"/>
                <w:szCs w:val="22"/>
              </w:rPr>
              <w:t>May 2022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5C17EE4C" w14:textId="77777777" w:rsidTr="57871538">
        <w:tc>
          <w:tcPr>
            <w:tcW w:w="1807" w:type="pct"/>
          </w:tcPr>
          <w:p w14:paraId="642D6E0B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3193" w:type="pct"/>
          </w:tcPr>
          <w:p w14:paraId="3DE382A6" w14:textId="598FBB69" w:rsidR="005E1308" w:rsidRPr="00976DDC" w:rsidRDefault="003F787F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May 2022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4EA07882" w14:textId="77777777" w:rsidTr="57871538">
        <w:tc>
          <w:tcPr>
            <w:tcW w:w="1807" w:type="pct"/>
          </w:tcPr>
          <w:p w14:paraId="1D1DCB34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3193" w:type="pct"/>
          </w:tcPr>
          <w:p w14:paraId="1B094B75" w14:textId="2B7A2ACF" w:rsidR="005E1308" w:rsidRPr="00976DDC" w:rsidRDefault="00A44F9B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F9B">
              <w:rPr>
                <w:rFonts w:asciiTheme="minorHAnsi" w:hAnsiTheme="minorHAnsi" w:cstheme="minorHAnsi"/>
                <w:sz w:val="22"/>
                <w:szCs w:val="22"/>
              </w:rPr>
              <w:t xml:space="preserve">16 May 2022. </w:t>
            </w:r>
          </w:p>
        </w:tc>
      </w:tr>
      <w:tr w:rsidR="005E1308" w:rsidRPr="00976DDC" w14:paraId="736E63CF" w14:textId="77777777" w:rsidTr="57871538">
        <w:tc>
          <w:tcPr>
            <w:tcW w:w="1807" w:type="pct"/>
          </w:tcPr>
          <w:p w14:paraId="7D3BE51F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3193" w:type="pct"/>
          </w:tcPr>
          <w:p w14:paraId="7DD1C48D" w14:textId="726DD0FB" w:rsidR="005E1308" w:rsidRPr="00976DDC" w:rsidRDefault="0005148E" w:rsidP="00E25452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 applicable. </w:t>
            </w:r>
          </w:p>
        </w:tc>
      </w:tr>
      <w:tr w:rsidR="005E1308" w:rsidRPr="00976DDC" w14:paraId="366E7F7F" w14:textId="77777777" w:rsidTr="57871538">
        <w:tc>
          <w:tcPr>
            <w:tcW w:w="1807" w:type="pct"/>
          </w:tcPr>
          <w:p w14:paraId="6CF7EF83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3193" w:type="pct"/>
          </w:tcPr>
          <w:p w14:paraId="7EAC6368" w14:textId="432B0190" w:rsidR="005E1308" w:rsidRPr="00976DDC" w:rsidRDefault="0005148E" w:rsidP="00E25452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 applicable. </w:t>
            </w:r>
          </w:p>
        </w:tc>
      </w:tr>
    </w:tbl>
    <w:p w14:paraId="481E0892" w14:textId="77777777" w:rsidR="00C83648" w:rsidRPr="00736211" w:rsidRDefault="00BC7798" w:rsidP="008033F6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b/>
          <w:sz w:val="18"/>
          <w:szCs w:val="22"/>
        </w:rPr>
      </w:pPr>
      <w:r w:rsidRPr="00736211">
        <w:rPr>
          <w:rFonts w:asciiTheme="minorHAnsi" w:hAnsiTheme="minorHAnsi" w:cstheme="minorHAnsi"/>
          <w:sz w:val="18"/>
          <w:szCs w:val="22"/>
        </w:rPr>
        <w:t xml:space="preserve">(a) </w:t>
      </w:r>
      <w:r w:rsidR="00555CBF" w:rsidRPr="00736211">
        <w:rPr>
          <w:rFonts w:asciiTheme="minorHAnsi" w:hAnsiTheme="minorHAnsi" w:cstheme="minorHAnsi"/>
          <w:sz w:val="18"/>
          <w:szCs w:val="22"/>
        </w:rPr>
        <w:t xml:space="preserve">Ongoing policies continue indefinitely (until a decision is made to cease or alter the program). </w:t>
      </w:r>
      <w:r w:rsidR="00BD64BF" w:rsidRPr="00736211">
        <w:rPr>
          <w:rFonts w:asciiTheme="minorHAnsi" w:hAnsiTheme="minorHAnsi" w:cstheme="minorHAnsi"/>
          <w:sz w:val="18"/>
          <w:szCs w:val="22"/>
        </w:rPr>
        <w:t xml:space="preserve">Terminating measures end on a date set out in the initial policy and a </w:t>
      </w:r>
      <w:r w:rsidR="00BD64BF" w:rsidRPr="008033F6">
        <w:rPr>
          <w:rFonts w:asciiTheme="minorHAnsi" w:hAnsiTheme="minorHAnsi" w:cstheme="minorHAnsi"/>
          <w:sz w:val="18"/>
        </w:rPr>
        <w:t>further</w:t>
      </w:r>
      <w:r w:rsidR="00BD64BF" w:rsidRPr="00736211">
        <w:rPr>
          <w:rFonts w:asciiTheme="minorHAnsi" w:hAnsiTheme="minorHAnsi" w:cstheme="minorHAnsi"/>
          <w:sz w:val="18"/>
          <w:szCs w:val="22"/>
        </w:rPr>
        <w:t xml:space="preserve"> decision is required to continue the program beyond this date.  </w:t>
      </w:r>
    </w:p>
    <w:p w14:paraId="433BB649" w14:textId="77777777" w:rsidR="00C83648" w:rsidRPr="00976DDC" w:rsidRDefault="00C83648" w:rsidP="005E1308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64CCE1EA" w14:textId="77777777" w:rsidR="00BC7798" w:rsidRPr="00976DDC" w:rsidRDefault="00BC7798" w:rsidP="00BC7798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t>Financial implications (outturn prices</w:t>
      </w:r>
      <w:proofErr w:type="gramStart"/>
      <w:r w:rsidRPr="00976DDC">
        <w:rPr>
          <w:rFonts w:asciiTheme="minorHAnsi" w:hAnsiTheme="minorHAnsi" w:cstheme="minorHAnsi"/>
          <w:sz w:val="22"/>
          <w:szCs w:val="22"/>
        </w:rPr>
        <w:t>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proofErr w:type="gramEnd"/>
      <w:r w:rsidR="00CD3EF8" w:rsidRPr="00976DDC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113"/>
        <w:gridCol w:w="1259"/>
        <w:gridCol w:w="1259"/>
        <w:gridCol w:w="1259"/>
        <w:gridCol w:w="1259"/>
        <w:gridCol w:w="1257"/>
      </w:tblGrid>
      <w:tr w:rsidR="00323E35" w:rsidRPr="00916340" w14:paraId="0D2F8992" w14:textId="77777777" w:rsidTr="008B76D1">
        <w:tc>
          <w:tcPr>
            <w:tcW w:w="1655" w:type="pct"/>
            <w:shd w:val="pct10" w:color="auto" w:fill="auto"/>
          </w:tcPr>
          <w:p w14:paraId="2303AE38" w14:textId="77777777" w:rsidR="00323E35" w:rsidRPr="00916340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669" w:type="pct"/>
            <w:shd w:val="pct10" w:color="auto" w:fill="auto"/>
          </w:tcPr>
          <w:p w14:paraId="5F3F5682" w14:textId="0940F8E8" w:rsidR="00323E35" w:rsidRPr="00916340" w:rsidRDefault="00323E35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</w:t>
            </w:r>
            <w:r w:rsidR="00333D12" w:rsidRPr="00916340">
              <w:rPr>
                <w:rFonts w:asciiTheme="minorHAnsi" w:hAnsiTheme="minorHAnsi" w:cstheme="minorHAnsi"/>
                <w:szCs w:val="22"/>
              </w:rPr>
              <w:t>21-22</w:t>
            </w:r>
          </w:p>
        </w:tc>
        <w:tc>
          <w:tcPr>
            <w:tcW w:w="669" w:type="pct"/>
            <w:shd w:val="pct10" w:color="auto" w:fill="auto"/>
          </w:tcPr>
          <w:p w14:paraId="1BE6B3F6" w14:textId="1FB1D1FA" w:rsidR="00323E35" w:rsidRPr="00916340" w:rsidRDefault="00333D12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2022-23</w:t>
            </w:r>
          </w:p>
        </w:tc>
        <w:tc>
          <w:tcPr>
            <w:tcW w:w="669" w:type="pct"/>
            <w:shd w:val="pct10" w:color="auto" w:fill="auto"/>
          </w:tcPr>
          <w:p w14:paraId="7C92AC12" w14:textId="66F0660C" w:rsidR="00323E35" w:rsidRPr="00916340" w:rsidRDefault="00333D12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2023-24</w:t>
            </w:r>
          </w:p>
        </w:tc>
        <w:tc>
          <w:tcPr>
            <w:tcW w:w="669" w:type="pct"/>
            <w:shd w:val="pct10" w:color="auto" w:fill="auto"/>
          </w:tcPr>
          <w:p w14:paraId="21E0283A" w14:textId="50BFFE33" w:rsidR="00323E35" w:rsidRPr="00916340" w:rsidRDefault="00333D12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2024-25</w:t>
            </w:r>
          </w:p>
        </w:tc>
        <w:tc>
          <w:tcPr>
            <w:tcW w:w="668" w:type="pct"/>
            <w:shd w:val="pct10" w:color="auto" w:fill="auto"/>
          </w:tcPr>
          <w:p w14:paraId="2F73EBF3" w14:textId="4391BB23" w:rsidR="00323E35" w:rsidRPr="00916340" w:rsidRDefault="00333D12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2025-26</w:t>
            </w:r>
          </w:p>
        </w:tc>
      </w:tr>
      <w:tr w:rsidR="008B76D1" w:rsidRPr="00916340" w14:paraId="035059F7" w14:textId="77777777" w:rsidTr="008B76D1">
        <w:tc>
          <w:tcPr>
            <w:tcW w:w="1655" w:type="pct"/>
          </w:tcPr>
          <w:p w14:paraId="73BD53AB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Underlying Cash Balance (UCB) ($m)</w:t>
            </w:r>
          </w:p>
        </w:tc>
        <w:tc>
          <w:tcPr>
            <w:tcW w:w="669" w:type="pct"/>
          </w:tcPr>
          <w:p w14:paraId="413FB8B6" w14:textId="725CF3A9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9" w:type="pct"/>
          </w:tcPr>
          <w:p w14:paraId="449E060B" w14:textId="20C033DD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9" w:type="pct"/>
          </w:tcPr>
          <w:p w14:paraId="7D5AAB5C" w14:textId="18159617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9" w:type="pct"/>
          </w:tcPr>
          <w:p w14:paraId="1A6CE0AF" w14:textId="23397CD7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8" w:type="pct"/>
          </w:tcPr>
          <w:p w14:paraId="5DF46194" w14:textId="41E9975B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</w:tr>
      <w:tr w:rsidR="008B76D1" w:rsidRPr="00916340" w14:paraId="2AE69659" w14:textId="77777777" w:rsidTr="008B76D1">
        <w:tc>
          <w:tcPr>
            <w:tcW w:w="1655" w:type="pct"/>
          </w:tcPr>
          <w:p w14:paraId="3C97FB20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2D89BC6A" w14:textId="77777777" w:rsidR="008B76D1" w:rsidRPr="00916340" w:rsidRDefault="008B76D1" w:rsidP="008B76D1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916340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669" w:type="pct"/>
          </w:tcPr>
          <w:p w14:paraId="180E0B6C" w14:textId="0015E483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9" w:type="pct"/>
          </w:tcPr>
          <w:p w14:paraId="6DD8EAB3" w14:textId="731F015A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9" w:type="pct"/>
          </w:tcPr>
          <w:p w14:paraId="35B0C545" w14:textId="6133D365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9" w:type="pct"/>
          </w:tcPr>
          <w:p w14:paraId="598CC5CD" w14:textId="755AC66A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  <w:tc>
          <w:tcPr>
            <w:tcW w:w="668" w:type="pct"/>
          </w:tcPr>
          <w:p w14:paraId="088D2C3B" w14:textId="1BF7A327" w:rsidR="008B76D1" w:rsidRPr="00916340" w:rsidRDefault="003F787F" w:rsidP="008B76D1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0.00</w:t>
            </w:r>
          </w:p>
        </w:tc>
      </w:tr>
    </w:tbl>
    <w:p w14:paraId="0B877000" w14:textId="2EB1CDC3" w:rsidR="00F3085D" w:rsidRDefault="008033F6" w:rsidP="00916340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(b) 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A positive number for the fiscal balance indicates an increase in revenue or a decrease in expenses or net capital investment in accrual terms. A positive number for the </w:t>
      </w:r>
      <w:r w:rsidR="00976DDC" w:rsidRPr="00736211">
        <w:rPr>
          <w:rFonts w:asciiTheme="minorHAnsi" w:hAnsiTheme="minorHAnsi" w:cstheme="minorHAnsi"/>
          <w:sz w:val="18"/>
          <w:szCs w:val="22"/>
        </w:rPr>
        <w:t>UCB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 </w:t>
      </w:r>
      <w:r w:rsidR="00BC7798" w:rsidRPr="008033F6">
        <w:rPr>
          <w:rFonts w:asciiTheme="minorHAnsi" w:hAnsiTheme="minorHAnsi" w:cstheme="minorHAnsi"/>
          <w:sz w:val="18"/>
        </w:rPr>
        <w:t>indicates</w:t>
      </w:r>
      <w:r w:rsidR="00BC7798" w:rsidRPr="00736211">
        <w:rPr>
          <w:rFonts w:asciiTheme="minorHAnsi" w:hAnsiTheme="minorHAnsi" w:cstheme="minorHAnsi"/>
          <w:sz w:val="18"/>
          <w:szCs w:val="22"/>
        </w:rPr>
        <w:t xml:space="preserve"> an increase in revenue or a decrease in expenses or net capital investment in cash terms.</w:t>
      </w:r>
    </w:p>
    <w:p w14:paraId="762F7C04" w14:textId="46014CD5" w:rsidR="00916340" w:rsidRDefault="00916340" w:rsidP="00916340">
      <w:pPr>
        <w:spacing w:after="0" w:line="240" w:lineRule="auto"/>
      </w:pPr>
    </w:p>
    <w:p w14:paraId="3AED5F93" w14:textId="4DDB27D4" w:rsidR="002A1112" w:rsidRDefault="002A1112" w:rsidP="00916340">
      <w:pPr>
        <w:spacing w:after="0" w:line="240" w:lineRule="auto"/>
      </w:pPr>
    </w:p>
    <w:p w14:paraId="6B93D444" w14:textId="6A394730" w:rsidR="002A1112" w:rsidRDefault="002A1112" w:rsidP="00916340">
      <w:pPr>
        <w:spacing w:after="0" w:line="240" w:lineRule="auto"/>
      </w:pPr>
    </w:p>
    <w:p w14:paraId="326CDB4C" w14:textId="0B8A90E3" w:rsidR="009F1CA0" w:rsidRDefault="009F1CA0" w:rsidP="00916340">
      <w:pPr>
        <w:spacing w:after="0" w:line="240" w:lineRule="auto"/>
      </w:pPr>
    </w:p>
    <w:p w14:paraId="5DE50C96" w14:textId="77777777" w:rsidR="009F1CA0" w:rsidRDefault="009F1CA0" w:rsidP="00916340">
      <w:pPr>
        <w:spacing w:after="0" w:line="240" w:lineRule="auto"/>
      </w:pPr>
    </w:p>
    <w:p w14:paraId="31025240" w14:textId="77777777" w:rsidR="002A1112" w:rsidRPr="00916340" w:rsidRDefault="002A1112" w:rsidP="00916340">
      <w:pPr>
        <w:spacing w:after="0" w:line="240" w:lineRule="auto"/>
      </w:pPr>
    </w:p>
    <w:tbl>
      <w:tblPr>
        <w:tblStyle w:val="TableGrid"/>
        <w:tblW w:w="5000" w:type="pct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02"/>
      </w:tblGrid>
      <w:tr w:rsidR="005E1308" w:rsidRPr="00976DDC" w14:paraId="7AFF7504" w14:textId="77777777" w:rsidTr="57871538">
        <w:tc>
          <w:tcPr>
            <w:tcW w:w="5000" w:type="pct"/>
          </w:tcPr>
          <w:p w14:paraId="65E05FC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Where relevant, state that the proposal has been costed as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6BC83754" w14:textId="3FB92ADC" w:rsidR="005E1308" w:rsidRPr="00976DDC" w:rsidRDefault="00835619" w:rsidP="00D45B77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pplicable</w:t>
            </w:r>
            <w:r w:rsidR="002F75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3281B668" w14:textId="77777777" w:rsidTr="57871538">
        <w:tc>
          <w:tcPr>
            <w:tcW w:w="5000" w:type="pct"/>
          </w:tcPr>
          <w:p w14:paraId="3539230C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6C02624B" w14:textId="3DAE1689" w:rsidR="005E1308" w:rsidRPr="00976DDC" w:rsidRDefault="003F787F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pplicable</w:t>
            </w:r>
            <w:r w:rsidR="002F75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68E7F335" w14:textId="77777777" w:rsidTr="57871538">
        <w:tc>
          <w:tcPr>
            <w:tcW w:w="5000" w:type="pct"/>
          </w:tcPr>
          <w:p w14:paraId="353F81A2" w14:textId="77777777" w:rsidR="005E1308" w:rsidRPr="009838A8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8A8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605CF320" w14:textId="4FAAA160" w:rsidR="005E1308" w:rsidRPr="00976DDC" w:rsidRDefault="009B10F2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838A8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  <w:r w:rsidR="002F75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365B042D" w14:textId="77777777" w:rsidTr="57871538">
        <w:tc>
          <w:tcPr>
            <w:tcW w:w="5000" w:type="pct"/>
          </w:tcPr>
          <w:p w14:paraId="256A1744" w14:textId="77777777" w:rsidR="005E1308" w:rsidRPr="00385B21" w:rsidRDefault="57871538" w:rsidP="57871538">
            <w:pPr>
              <w:pStyle w:val="Text"/>
              <w:spacing w:before="18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7871538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Qualifications to the costing (including reasons for the costing not being comprehensive).</w:t>
            </w:r>
          </w:p>
          <w:p w14:paraId="720B4B77" w14:textId="5AA34CBA" w:rsidR="005E1308" w:rsidRPr="00976DDC" w:rsidRDefault="57871538" w:rsidP="57871538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57871538">
              <w:rPr>
                <w:rFonts w:asciiTheme="minorHAnsi" w:hAnsiTheme="minorHAnsi"/>
                <w:sz w:val="22"/>
                <w:szCs w:val="22"/>
              </w:rPr>
              <w:t xml:space="preserve">Not </w:t>
            </w:r>
            <w:r w:rsidR="00D45B77">
              <w:rPr>
                <w:rFonts w:asciiTheme="minorHAnsi" w:hAnsiTheme="minorHAnsi"/>
                <w:sz w:val="22"/>
                <w:szCs w:val="22"/>
              </w:rPr>
              <w:t>a</w:t>
            </w:r>
            <w:r w:rsidRPr="57871538">
              <w:rPr>
                <w:rFonts w:asciiTheme="minorHAnsi" w:hAnsiTheme="minorHAnsi"/>
                <w:sz w:val="22"/>
                <w:szCs w:val="22"/>
              </w:rPr>
              <w:t>pplicable</w:t>
            </w:r>
            <w:r w:rsidR="002F75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E1308" w:rsidRPr="00976DDC" w14:paraId="2A45318D" w14:textId="77777777" w:rsidTr="57871538">
        <w:tc>
          <w:tcPr>
            <w:tcW w:w="5000" w:type="pct"/>
          </w:tcPr>
          <w:p w14:paraId="5CBBF435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3194887F" w14:textId="11641DA1" w:rsidR="005E1308" w:rsidRPr="00976DDC" w:rsidRDefault="008426CC" w:rsidP="00D45B77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426CC">
              <w:rPr>
                <w:rFonts w:asciiTheme="minorHAnsi" w:hAnsiTheme="minorHAnsi" w:cstheme="minorHAnsi"/>
                <w:sz w:val="22"/>
                <w:szCs w:val="22"/>
              </w:rPr>
              <w:t>As specified in the costin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 request, the Department of Social Services </w:t>
            </w:r>
            <w:r w:rsidRPr="008426CC">
              <w:rPr>
                <w:rFonts w:asciiTheme="minorHAnsi" w:hAnsiTheme="minorHAnsi" w:cstheme="minorHAnsi"/>
                <w:sz w:val="22"/>
                <w:szCs w:val="22"/>
              </w:rPr>
              <w:t>would absorb the associated departmental costs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4932DB62" w14:textId="77777777" w:rsidTr="57871538">
        <w:tc>
          <w:tcPr>
            <w:tcW w:w="5000" w:type="pct"/>
          </w:tcPr>
          <w:p w14:paraId="3B8AB7A7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53B45BCE" w14:textId="71C48DE9" w:rsidR="005E1308" w:rsidRPr="00976DDC" w:rsidRDefault="00385B21" w:rsidP="00D45B77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pplicable</w:t>
            </w:r>
            <w:r w:rsidR="002F75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E1308" w:rsidRPr="00976DDC" w14:paraId="0D7E01A9" w14:textId="77777777" w:rsidTr="57871538">
        <w:tc>
          <w:tcPr>
            <w:tcW w:w="5000" w:type="pct"/>
          </w:tcPr>
          <w:p w14:paraId="3F170782" w14:textId="77777777" w:rsidR="002215AB" w:rsidRPr="00385B21" w:rsidRDefault="57871538" w:rsidP="57871538">
            <w:pPr>
              <w:spacing w:before="180" w:after="12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57871538">
              <w:rPr>
                <w:rStyle w:val="TextChar"/>
                <w:rFonts w:asciiTheme="minorHAnsi" w:hAnsiTheme="minorHAnsi"/>
                <w:b/>
                <w:bCs/>
                <w:sz w:val="22"/>
                <w:szCs w:val="22"/>
              </w:rPr>
              <w:t>Other comments</w:t>
            </w:r>
            <w:r w:rsidRPr="5787153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57871538">
              <w:rPr>
                <w:rStyle w:val="TextItalicisedChar"/>
                <w:rFonts w:asciiTheme="minorHAnsi" w:hAnsiTheme="minorHAnsi"/>
                <w:b/>
                <w:bCs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6"/>
            </w:tblGrid>
            <w:tr w:rsidR="002215AB" w:rsidRPr="00385B21" w14:paraId="247D300F" w14:textId="77777777" w:rsidTr="57871538">
              <w:tc>
                <w:tcPr>
                  <w:tcW w:w="5000" w:type="pct"/>
                </w:tcPr>
                <w:p w14:paraId="7187D5F3" w14:textId="77777777" w:rsidR="002215AB" w:rsidRPr="00385B21" w:rsidRDefault="57871538" w:rsidP="57871538">
                  <w:pPr>
                    <w:pStyle w:val="Text"/>
                    <w:spacing w:before="120" w:after="12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578715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Where relevant, include an explanation of the medium-term implications of the proposal.</w:t>
                  </w:r>
                  <w:r w:rsidRPr="578715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vertAlign w:val="superscript"/>
                    </w:rPr>
                    <w:t>(c)</w:t>
                  </w:r>
                  <w:r w:rsidRPr="57871538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0327AF50" w14:textId="1C85068D" w:rsidR="00674C3B" w:rsidRPr="00385B21" w:rsidRDefault="57871538" w:rsidP="57871538">
                  <w:pPr>
                    <w:pStyle w:val="Text"/>
                    <w:spacing w:before="120" w:after="12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5787153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Not </w:t>
                  </w:r>
                  <w:r w:rsidR="00D45B77">
                    <w:rPr>
                      <w:rFonts w:ascii="Calibri" w:eastAsia="Calibri" w:hAnsi="Calibri" w:cs="Calibri"/>
                      <w:sz w:val="22"/>
                      <w:szCs w:val="22"/>
                    </w:rPr>
                    <w:t>a</w:t>
                  </w:r>
                  <w:r w:rsidRPr="57871538">
                    <w:rPr>
                      <w:rFonts w:ascii="Calibri" w:eastAsia="Calibri" w:hAnsi="Calibri" w:cs="Calibri"/>
                      <w:sz w:val="22"/>
                      <w:szCs w:val="22"/>
                    </w:rPr>
                    <w:t>pplicable</w:t>
                  </w:r>
                  <w:r w:rsidR="002F75B9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14:paraId="71A9786E" w14:textId="77777777" w:rsidR="005E1308" w:rsidRPr="00385B21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A1B38DA" w14:textId="0FC9BEB5" w:rsidR="003776ED" w:rsidRPr="008033F6" w:rsidRDefault="008033F6" w:rsidP="008033F6">
      <w:pPr>
        <w:pStyle w:val="ChartandTableFootnoteAlpha"/>
        <w:numPr>
          <w:ilvl w:val="0"/>
          <w:numId w:val="0"/>
        </w:numPr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(c) </w:t>
      </w:r>
      <w:r w:rsidR="002215AB" w:rsidRPr="008033F6">
        <w:rPr>
          <w:rFonts w:asciiTheme="minorHAnsi" w:hAnsiTheme="minorHAnsi" w:cstheme="minorHAnsi"/>
          <w:sz w:val="18"/>
        </w:rPr>
        <w:t>I</w:t>
      </w:r>
      <w:r w:rsidR="00993E99" w:rsidRPr="008033F6">
        <w:rPr>
          <w:rFonts w:asciiTheme="minorHAnsi" w:hAnsiTheme="minorHAnsi" w:cstheme="minorHAnsi"/>
          <w:sz w:val="18"/>
        </w:rPr>
        <w:t xml:space="preserve">nformation on the medium term </w:t>
      </w:r>
      <w:r w:rsidR="002215AB" w:rsidRPr="008033F6">
        <w:rPr>
          <w:rFonts w:asciiTheme="minorHAnsi" w:hAnsiTheme="minorHAnsi" w:cstheme="minorHAnsi"/>
          <w:sz w:val="18"/>
        </w:rPr>
        <w:t xml:space="preserve">implications </w:t>
      </w:r>
      <w:r w:rsidR="00993E99" w:rsidRPr="008033F6">
        <w:rPr>
          <w:rFonts w:asciiTheme="minorHAnsi" w:hAnsiTheme="minorHAnsi" w:cstheme="minorHAnsi"/>
          <w:sz w:val="18"/>
        </w:rPr>
        <w:t xml:space="preserve">will be provided </w:t>
      </w:r>
      <w:r w:rsidR="009A3939" w:rsidRPr="008033F6">
        <w:rPr>
          <w:rFonts w:asciiTheme="minorHAnsi" w:hAnsiTheme="minorHAnsi" w:cstheme="minorHAnsi"/>
          <w:sz w:val="18"/>
        </w:rPr>
        <w:t xml:space="preserve">if the </w:t>
      </w:r>
      <w:r w:rsidR="00CD3EF8" w:rsidRPr="008033F6">
        <w:rPr>
          <w:rFonts w:asciiTheme="minorHAnsi" w:hAnsiTheme="minorHAnsi" w:cstheme="minorHAnsi"/>
          <w:sz w:val="18"/>
        </w:rPr>
        <w:t>cost of the policy is expected to be significantly different beyond the forward estimates period</w:t>
      </w:r>
      <w:r w:rsidR="00D00EA0" w:rsidRPr="008033F6">
        <w:rPr>
          <w:rFonts w:asciiTheme="minorHAnsi" w:hAnsiTheme="minorHAnsi" w:cstheme="minorHAnsi"/>
          <w:sz w:val="18"/>
        </w:rPr>
        <w:t>. The medium term is considered to be the 7 years after the current forward estimates</w:t>
      </w:r>
      <w:r w:rsidR="004C18E1" w:rsidRPr="008033F6">
        <w:rPr>
          <w:rFonts w:asciiTheme="minorHAnsi" w:hAnsiTheme="minorHAnsi" w:cstheme="minorHAnsi"/>
          <w:sz w:val="18"/>
        </w:rPr>
        <w:t>.</w:t>
      </w:r>
      <w:r w:rsidR="004C18E1" w:rsidRPr="008033F6">
        <w:rPr>
          <w:rFonts w:asciiTheme="minorHAnsi" w:hAnsiTheme="minorHAnsi" w:cstheme="minorHAnsi"/>
          <w:sz w:val="18"/>
        </w:rPr>
        <w:br/>
      </w:r>
    </w:p>
    <w:p w14:paraId="01610E57" w14:textId="77777777" w:rsidR="00674C3B" w:rsidRPr="00C3260F" w:rsidRDefault="00674C3B" w:rsidP="00C3260F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5E1308" w:rsidRPr="00976DDC" w14:paraId="75C7C9DE" w14:textId="77777777" w:rsidTr="008033F6">
        <w:tc>
          <w:tcPr>
            <w:tcW w:w="5000" w:type="pct"/>
            <w:tcBorders>
              <w:bottom w:val="dotted" w:sz="4" w:space="0" w:color="7F7F7F" w:themeColor="text1" w:themeTint="80"/>
            </w:tcBorders>
            <w:shd w:val="pct10" w:color="auto" w:fill="auto"/>
          </w:tcPr>
          <w:p w14:paraId="036FDEED" w14:textId="77777777" w:rsidR="005E1308" w:rsidRPr="00976DDC" w:rsidRDefault="005E1308" w:rsidP="006A3DB1">
            <w:pPr>
              <w:pStyle w:val="Headings"/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5E1308" w:rsidRPr="00976DDC" w14:paraId="57550064" w14:textId="77777777" w:rsidTr="008033F6">
        <w:tc>
          <w:tcPr>
            <w:tcW w:w="5000" w:type="pc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C982F96" w14:textId="36BFAF3C" w:rsidR="005E1308" w:rsidRDefault="005E1308" w:rsidP="006A3DB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538F4C30" w14:textId="38EFBAC8" w:rsidR="00582D12" w:rsidRPr="00C77833" w:rsidRDefault="00796E6A" w:rsidP="00C77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7783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43D0D">
              <w:rPr>
                <w:rFonts w:asciiTheme="minorHAnsi" w:hAnsiTheme="minorHAnsi" w:cstheme="minorHAnsi"/>
                <w:sz w:val="22"/>
                <w:szCs w:val="22"/>
              </w:rPr>
              <w:t xml:space="preserve">2022-23 </w:t>
            </w:r>
            <w:r w:rsidRPr="00C77833">
              <w:rPr>
                <w:rFonts w:asciiTheme="minorHAnsi" w:hAnsiTheme="minorHAnsi" w:cstheme="minorHAnsi"/>
                <w:sz w:val="22"/>
                <w:szCs w:val="22"/>
              </w:rPr>
              <w:t xml:space="preserve">Budget forward estimates assume that </w:t>
            </w:r>
            <w:r w:rsidR="00455DFC" w:rsidRPr="00C77833">
              <w:rPr>
                <w:rFonts w:asciiTheme="minorHAnsi" w:hAnsiTheme="minorHAnsi" w:cstheme="minorHAnsi"/>
                <w:sz w:val="22"/>
                <w:szCs w:val="22"/>
              </w:rPr>
              <w:t>deeming rates</w:t>
            </w:r>
            <w:r w:rsidR="00124E11" w:rsidRPr="00C77833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455DFC" w:rsidRPr="00C778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2736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social security payment recipients </w:t>
            </w:r>
            <w:r w:rsidRPr="00C77833">
              <w:rPr>
                <w:rFonts w:asciiTheme="minorHAnsi" w:hAnsiTheme="minorHAnsi" w:cstheme="minorHAnsi"/>
                <w:sz w:val="22"/>
                <w:szCs w:val="22"/>
              </w:rPr>
              <w:t>will be maintained at their current levels</w:t>
            </w:r>
            <w:r w:rsidR="004A2736" w:rsidRPr="00C7783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A2736" w:rsidRPr="00C77833">
              <w:rPr>
                <w:rFonts w:ascii="Calibri" w:eastAsia="Calibri" w:hAnsi="Calibri" w:cs="Calibri"/>
                <w:sz w:val="22"/>
                <w:szCs w:val="22"/>
              </w:rPr>
              <w:t>0.25 per cent for financial investments up to $53,600 for single recipients and $89,000 for recipient couples and the upper deeming rate at 2.25 per cent on investment assets over the amount of $53,600 or $89,000 respectively)</w:t>
            </w:r>
            <w:r w:rsidR="00455DFC" w:rsidRPr="00C7783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273708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D6BF3" w:rsidRPr="00C77833">
              <w:rPr>
                <w:rFonts w:ascii="Calibri" w:eastAsia="Calibri" w:hAnsi="Calibri" w:cs="Calibri"/>
                <w:sz w:val="22"/>
                <w:szCs w:val="22"/>
              </w:rPr>
              <w:t>As t</w:t>
            </w:r>
            <w:r w:rsidR="00273708" w:rsidRPr="00C77833">
              <w:rPr>
                <w:rFonts w:ascii="Calibri" w:eastAsia="Calibri" w:hAnsi="Calibri" w:cs="Calibri"/>
                <w:sz w:val="22"/>
                <w:szCs w:val="22"/>
              </w:rPr>
              <w:t>he forward estimates do not contain assumptions around potential changes to deeming rates</w:t>
            </w:r>
            <w:r w:rsidR="00D45B7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2D6BF3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77833">
              <w:rPr>
                <w:rFonts w:ascii="Calibri" w:eastAsia="Calibri" w:hAnsi="Calibri" w:cs="Calibri"/>
                <w:sz w:val="22"/>
                <w:szCs w:val="22"/>
              </w:rPr>
              <w:t>the p</w:t>
            </w:r>
            <w:r w:rsidR="002D6BF3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olicy </w:t>
            </w:r>
            <w:r w:rsidRPr="00C77833">
              <w:rPr>
                <w:rFonts w:ascii="Calibri" w:eastAsia="Calibri" w:hAnsi="Calibri" w:cs="Calibri"/>
                <w:sz w:val="22"/>
                <w:szCs w:val="22"/>
              </w:rPr>
              <w:t>to freeze deeming rates</w:t>
            </w:r>
            <w:r w:rsidR="00582D12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 for the next two years</w:t>
            </w:r>
            <w:r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56F18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would </w:t>
            </w:r>
            <w:r w:rsidRPr="00C77833">
              <w:rPr>
                <w:rFonts w:ascii="Calibri" w:eastAsia="Calibri" w:hAnsi="Calibri" w:cs="Calibri"/>
                <w:sz w:val="22"/>
                <w:szCs w:val="22"/>
              </w:rPr>
              <w:t>have</w:t>
            </w:r>
            <w:r w:rsidR="00582D12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 nil financial impact</w:t>
            </w:r>
            <w:r w:rsidR="002D6BF3" w:rsidRPr="00C77833">
              <w:rPr>
                <w:rFonts w:ascii="Calibri" w:eastAsia="Calibri" w:hAnsi="Calibri" w:cs="Calibri"/>
                <w:sz w:val="22"/>
                <w:szCs w:val="22"/>
              </w:rPr>
              <w:t xml:space="preserve"> on the current forward estimates</w:t>
            </w:r>
            <w:r w:rsidR="00455DFC" w:rsidRPr="00C778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A12D3C3" w14:textId="69741411" w:rsidR="005E1308" w:rsidRDefault="006E3319" w:rsidP="00B53F5E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Policy parameters</w:t>
            </w:r>
          </w:p>
          <w:p w14:paraId="0FC07AC4" w14:textId="14294ED7" w:rsidR="00F6645F" w:rsidRPr="00C77833" w:rsidRDefault="00F6645F" w:rsidP="00C77833">
            <w:pPr>
              <w:spacing w:before="80" w:after="80" w:line="2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77833">
              <w:rPr>
                <w:rFonts w:asciiTheme="minorHAnsi" w:hAnsiTheme="minorHAnsi" w:cstheme="minorHAnsi"/>
                <w:sz w:val="22"/>
                <w:szCs w:val="22"/>
              </w:rPr>
              <w:t xml:space="preserve">Deeming rates determine the income of social security payment recipients who earn money through financial assets. It assumes these investments earn a fixed amount regardless of what they actually earn. </w:t>
            </w:r>
          </w:p>
          <w:p w14:paraId="6CEA931B" w14:textId="77777777" w:rsidR="005E1308" w:rsidRPr="00976DDC" w:rsidRDefault="005E1308" w:rsidP="006A3DB1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Behavioural assumptions used (as appropriate)</w:t>
            </w:r>
            <w:r w:rsidR="00F3085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E1A7059" w14:textId="36592012" w:rsidR="005E1308" w:rsidRPr="00976DDC" w:rsidRDefault="00385B21" w:rsidP="006A3DB1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D45B7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pplicable</w:t>
            </w:r>
            <w:r w:rsidR="002F75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72FCD21E" w14:textId="77777777" w:rsidR="000C3665" w:rsidRPr="009B10F2" w:rsidRDefault="000C3665" w:rsidP="002A1112">
      <w:pPr>
        <w:rPr>
          <w:sz w:val="2"/>
        </w:rPr>
      </w:pPr>
    </w:p>
    <w:sectPr w:rsidR="000C3665" w:rsidRPr="009B10F2" w:rsidSect="008033F6">
      <w:footerReference w:type="default" r:id="rId13"/>
      <w:footerReference w:type="first" r:id="rId14"/>
      <w:pgSz w:w="11906" w:h="16838" w:code="9"/>
      <w:pgMar w:top="1021" w:right="1247" w:bottom="1021" w:left="1247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7CD7" w14:textId="77777777" w:rsidR="00EB2AE3" w:rsidRDefault="00EB2AE3" w:rsidP="0035369B">
      <w:pPr>
        <w:spacing w:after="0" w:line="240" w:lineRule="auto"/>
      </w:pPr>
      <w:r>
        <w:separator/>
      </w:r>
    </w:p>
  </w:endnote>
  <w:endnote w:type="continuationSeparator" w:id="0">
    <w:p w14:paraId="7A0DA6EB" w14:textId="77777777" w:rsidR="00EB2AE3" w:rsidRDefault="00EB2AE3" w:rsidP="0035369B">
      <w:pPr>
        <w:spacing w:after="0" w:line="240" w:lineRule="auto"/>
      </w:pPr>
      <w:r>
        <w:continuationSeparator/>
      </w:r>
    </w:p>
  </w:endnote>
  <w:endnote w:type="continuationNotice" w:id="1">
    <w:p w14:paraId="623C366E" w14:textId="77777777" w:rsidR="00EB2AE3" w:rsidRDefault="00EB2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152A4" w14:textId="1236503C" w:rsidR="00EB2AE3" w:rsidRPr="00916340" w:rsidRDefault="00EB2AE3" w:rsidP="008033F6">
    <w:pPr>
      <w:pStyle w:val="Footer"/>
      <w:rPr>
        <w:rFonts w:asciiTheme="minorHAnsi" w:hAnsiTheme="minorHAnsi" w:cstheme="minorHAnsi"/>
        <w:sz w:val="22"/>
      </w:rPr>
    </w:pPr>
    <w:r w:rsidRPr="00916340">
      <w:rPr>
        <w:rFonts w:asciiTheme="minorHAnsi" w:hAnsiTheme="minorHAnsi" w:cstheme="minorHAnsi"/>
        <w:sz w:val="22"/>
      </w:rPr>
      <w:fldChar w:fldCharType="begin"/>
    </w:r>
    <w:r w:rsidRPr="00916340">
      <w:rPr>
        <w:rFonts w:asciiTheme="minorHAnsi" w:hAnsiTheme="minorHAnsi" w:cstheme="minorHAnsi"/>
        <w:sz w:val="22"/>
      </w:rPr>
      <w:instrText xml:space="preserve"> PAGE   \* MERGEFORMAT </w:instrText>
    </w:r>
    <w:r w:rsidRPr="00916340">
      <w:rPr>
        <w:rFonts w:asciiTheme="minorHAnsi" w:hAnsiTheme="minorHAnsi" w:cstheme="minorHAnsi"/>
        <w:sz w:val="22"/>
      </w:rPr>
      <w:fldChar w:fldCharType="separate"/>
    </w:r>
    <w:r w:rsidR="00995FAC">
      <w:rPr>
        <w:rFonts w:asciiTheme="minorHAnsi" w:hAnsiTheme="minorHAnsi" w:cstheme="minorHAnsi"/>
        <w:noProof/>
        <w:sz w:val="22"/>
      </w:rPr>
      <w:t>2</w:t>
    </w:r>
    <w:r w:rsidRPr="00916340">
      <w:rPr>
        <w:rFonts w:asciiTheme="minorHAnsi" w:hAnsiTheme="minorHAnsi" w:cstheme="minorHAnsi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EB2AE3" w:rsidRDefault="00EB2AE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EB2AE3" w:rsidRDefault="00EB2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01B7" w14:textId="77777777" w:rsidR="00EB2AE3" w:rsidRDefault="00EB2AE3" w:rsidP="0035369B">
      <w:pPr>
        <w:spacing w:after="0" w:line="240" w:lineRule="auto"/>
      </w:pPr>
      <w:r>
        <w:separator/>
      </w:r>
    </w:p>
  </w:footnote>
  <w:footnote w:type="continuationSeparator" w:id="0">
    <w:p w14:paraId="1FBEECE7" w14:textId="77777777" w:rsidR="00EB2AE3" w:rsidRDefault="00EB2AE3" w:rsidP="0035369B">
      <w:pPr>
        <w:spacing w:after="0" w:line="240" w:lineRule="auto"/>
      </w:pPr>
      <w:r>
        <w:continuationSeparator/>
      </w:r>
    </w:p>
  </w:footnote>
  <w:footnote w:type="continuationNotice" w:id="1">
    <w:p w14:paraId="7894F4EB" w14:textId="77777777" w:rsidR="00EB2AE3" w:rsidRDefault="00EB2A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1309"/>
    <w:multiLevelType w:val="hybridMultilevel"/>
    <w:tmpl w:val="0122D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3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4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825519"/>
    <w:multiLevelType w:val="hybridMultilevel"/>
    <w:tmpl w:val="D5A6F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2E19AC"/>
    <w:multiLevelType w:val="singleLevel"/>
    <w:tmpl w:val="9140D19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2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5" w15:restartNumberingAfterBreak="0">
    <w:nsid w:val="46CF3847"/>
    <w:multiLevelType w:val="hybridMultilevel"/>
    <w:tmpl w:val="6C6A9E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1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31"/>
  </w:num>
  <w:num w:numId="5">
    <w:abstractNumId w:val="24"/>
  </w:num>
  <w:num w:numId="6">
    <w:abstractNumId w:val="3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17"/>
  </w:num>
  <w:num w:numId="22">
    <w:abstractNumId w:val="28"/>
  </w:num>
  <w:num w:numId="23">
    <w:abstractNumId w:val="19"/>
  </w:num>
  <w:num w:numId="24">
    <w:abstractNumId w:val="33"/>
  </w:num>
  <w:num w:numId="25">
    <w:abstractNumId w:val="14"/>
  </w:num>
  <w:num w:numId="26">
    <w:abstractNumId w:val="16"/>
  </w:num>
  <w:num w:numId="27">
    <w:abstractNumId w:val="23"/>
  </w:num>
  <w:num w:numId="28">
    <w:abstractNumId w:val="29"/>
  </w:num>
  <w:num w:numId="29">
    <w:abstractNumId w:val="32"/>
  </w:num>
  <w:num w:numId="30">
    <w:abstractNumId w:val="12"/>
  </w:num>
  <w:num w:numId="31">
    <w:abstractNumId w:val="15"/>
  </w:num>
  <w:num w:numId="32">
    <w:abstractNumId w:val="26"/>
  </w:num>
  <w:num w:numId="33">
    <w:abstractNumId w:val="20"/>
  </w:num>
  <w:num w:numId="34">
    <w:abstractNumId w:val="11"/>
  </w:num>
  <w:num w:numId="35">
    <w:abstractNumId w:val="22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10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88D"/>
    <w:rsid w:val="00003C23"/>
    <w:rsid w:val="0000498F"/>
    <w:rsid w:val="00004D4E"/>
    <w:rsid w:val="000057A6"/>
    <w:rsid w:val="000109CE"/>
    <w:rsid w:val="00012821"/>
    <w:rsid w:val="00014B80"/>
    <w:rsid w:val="00020548"/>
    <w:rsid w:val="00021A2B"/>
    <w:rsid w:val="0002274E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EF9"/>
    <w:rsid w:val="00041B95"/>
    <w:rsid w:val="00042230"/>
    <w:rsid w:val="0004697C"/>
    <w:rsid w:val="000469CA"/>
    <w:rsid w:val="00050000"/>
    <w:rsid w:val="00050F3F"/>
    <w:rsid w:val="0005148E"/>
    <w:rsid w:val="000514F8"/>
    <w:rsid w:val="00052419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6C73"/>
    <w:rsid w:val="00077B82"/>
    <w:rsid w:val="000825D2"/>
    <w:rsid w:val="00083077"/>
    <w:rsid w:val="00084091"/>
    <w:rsid w:val="0008503F"/>
    <w:rsid w:val="000856CB"/>
    <w:rsid w:val="00085761"/>
    <w:rsid w:val="0009338B"/>
    <w:rsid w:val="00094854"/>
    <w:rsid w:val="000961A2"/>
    <w:rsid w:val="00097846"/>
    <w:rsid w:val="000A37E2"/>
    <w:rsid w:val="000A5A25"/>
    <w:rsid w:val="000B224B"/>
    <w:rsid w:val="000B6334"/>
    <w:rsid w:val="000B7347"/>
    <w:rsid w:val="000C3665"/>
    <w:rsid w:val="000C68E0"/>
    <w:rsid w:val="000D02B6"/>
    <w:rsid w:val="000D294C"/>
    <w:rsid w:val="000D3155"/>
    <w:rsid w:val="000D32DE"/>
    <w:rsid w:val="000D3FC7"/>
    <w:rsid w:val="000D5052"/>
    <w:rsid w:val="000D5C3B"/>
    <w:rsid w:val="000D5FF6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4E11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1C8C"/>
    <w:rsid w:val="0018309A"/>
    <w:rsid w:val="001861B0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7CC7"/>
    <w:rsid w:val="00231CD2"/>
    <w:rsid w:val="002332A4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3F45"/>
    <w:rsid w:val="00264CE5"/>
    <w:rsid w:val="00265003"/>
    <w:rsid w:val="00270F81"/>
    <w:rsid w:val="002710E3"/>
    <w:rsid w:val="00271340"/>
    <w:rsid w:val="0027156A"/>
    <w:rsid w:val="002723D9"/>
    <w:rsid w:val="00273708"/>
    <w:rsid w:val="002747D5"/>
    <w:rsid w:val="00275DC7"/>
    <w:rsid w:val="00277DC3"/>
    <w:rsid w:val="002802D9"/>
    <w:rsid w:val="00280A10"/>
    <w:rsid w:val="002811C1"/>
    <w:rsid w:val="0028135B"/>
    <w:rsid w:val="0028250B"/>
    <w:rsid w:val="00282F95"/>
    <w:rsid w:val="00283075"/>
    <w:rsid w:val="0028439B"/>
    <w:rsid w:val="002869CE"/>
    <w:rsid w:val="0028716F"/>
    <w:rsid w:val="002877F4"/>
    <w:rsid w:val="00293447"/>
    <w:rsid w:val="002952EC"/>
    <w:rsid w:val="00295976"/>
    <w:rsid w:val="002A1112"/>
    <w:rsid w:val="002A1228"/>
    <w:rsid w:val="002A39A6"/>
    <w:rsid w:val="002A6B7C"/>
    <w:rsid w:val="002A7289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5154"/>
    <w:rsid w:val="002D69F9"/>
    <w:rsid w:val="002D6BF3"/>
    <w:rsid w:val="002E0546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2F75B9"/>
    <w:rsid w:val="00303681"/>
    <w:rsid w:val="00304023"/>
    <w:rsid w:val="0030460D"/>
    <w:rsid w:val="00304A2E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3D12"/>
    <w:rsid w:val="00333FAD"/>
    <w:rsid w:val="0033561B"/>
    <w:rsid w:val="0034314D"/>
    <w:rsid w:val="00343675"/>
    <w:rsid w:val="00343C73"/>
    <w:rsid w:val="00347114"/>
    <w:rsid w:val="00352DA5"/>
    <w:rsid w:val="0035369B"/>
    <w:rsid w:val="003538B0"/>
    <w:rsid w:val="0035651F"/>
    <w:rsid w:val="003571BD"/>
    <w:rsid w:val="003613AF"/>
    <w:rsid w:val="003632FB"/>
    <w:rsid w:val="00365459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574D"/>
    <w:rsid w:val="00385B21"/>
    <w:rsid w:val="00386404"/>
    <w:rsid w:val="00387ECA"/>
    <w:rsid w:val="0039004E"/>
    <w:rsid w:val="00390057"/>
    <w:rsid w:val="00391B7A"/>
    <w:rsid w:val="00391D54"/>
    <w:rsid w:val="0039255B"/>
    <w:rsid w:val="00393D57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2767"/>
    <w:rsid w:val="003C373F"/>
    <w:rsid w:val="003C3C3E"/>
    <w:rsid w:val="003C4A33"/>
    <w:rsid w:val="003C4E5B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787F"/>
    <w:rsid w:val="003F7E7E"/>
    <w:rsid w:val="004009E4"/>
    <w:rsid w:val="004015D3"/>
    <w:rsid w:val="004029A9"/>
    <w:rsid w:val="0040335C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55DFC"/>
    <w:rsid w:val="004614D0"/>
    <w:rsid w:val="00463808"/>
    <w:rsid w:val="00463CCE"/>
    <w:rsid w:val="0046417B"/>
    <w:rsid w:val="00464461"/>
    <w:rsid w:val="00465FDE"/>
    <w:rsid w:val="00466567"/>
    <w:rsid w:val="00466FC0"/>
    <w:rsid w:val="00471706"/>
    <w:rsid w:val="004773F3"/>
    <w:rsid w:val="00477C48"/>
    <w:rsid w:val="0048105A"/>
    <w:rsid w:val="00481E1A"/>
    <w:rsid w:val="004830D4"/>
    <w:rsid w:val="004854D6"/>
    <w:rsid w:val="00485C08"/>
    <w:rsid w:val="00486920"/>
    <w:rsid w:val="00486BA1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1773"/>
    <w:rsid w:val="004A1B3D"/>
    <w:rsid w:val="004A2736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20EB"/>
    <w:rsid w:val="004B31AB"/>
    <w:rsid w:val="004B362B"/>
    <w:rsid w:val="004B7EE8"/>
    <w:rsid w:val="004C18E1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3CB"/>
    <w:rsid w:val="00541254"/>
    <w:rsid w:val="005417C7"/>
    <w:rsid w:val="00542B0B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7703"/>
    <w:rsid w:val="005602F5"/>
    <w:rsid w:val="0056149F"/>
    <w:rsid w:val="005652AF"/>
    <w:rsid w:val="00565945"/>
    <w:rsid w:val="00565AAE"/>
    <w:rsid w:val="00565C60"/>
    <w:rsid w:val="00566124"/>
    <w:rsid w:val="00566995"/>
    <w:rsid w:val="00567040"/>
    <w:rsid w:val="00571EBA"/>
    <w:rsid w:val="005720F0"/>
    <w:rsid w:val="005737D0"/>
    <w:rsid w:val="00573B8D"/>
    <w:rsid w:val="00575542"/>
    <w:rsid w:val="00575E33"/>
    <w:rsid w:val="005779F1"/>
    <w:rsid w:val="0058051B"/>
    <w:rsid w:val="00580885"/>
    <w:rsid w:val="00580C36"/>
    <w:rsid w:val="005819FC"/>
    <w:rsid w:val="00582D12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4E1B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591A"/>
    <w:rsid w:val="005F0574"/>
    <w:rsid w:val="005F0E72"/>
    <w:rsid w:val="005F237F"/>
    <w:rsid w:val="005F281F"/>
    <w:rsid w:val="005F32B7"/>
    <w:rsid w:val="005F3E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223E"/>
    <w:rsid w:val="006332B8"/>
    <w:rsid w:val="0063333C"/>
    <w:rsid w:val="00633376"/>
    <w:rsid w:val="0063367E"/>
    <w:rsid w:val="00633F7A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AC3"/>
    <w:rsid w:val="00653B0C"/>
    <w:rsid w:val="006545C5"/>
    <w:rsid w:val="006552CA"/>
    <w:rsid w:val="0065642F"/>
    <w:rsid w:val="006579A1"/>
    <w:rsid w:val="00660194"/>
    <w:rsid w:val="00662008"/>
    <w:rsid w:val="0066312E"/>
    <w:rsid w:val="00663803"/>
    <w:rsid w:val="00663D16"/>
    <w:rsid w:val="0066520E"/>
    <w:rsid w:val="00666CD1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AE8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957"/>
    <w:rsid w:val="006A0C76"/>
    <w:rsid w:val="006A2EFD"/>
    <w:rsid w:val="006A3DB1"/>
    <w:rsid w:val="006A3F78"/>
    <w:rsid w:val="006A4AA5"/>
    <w:rsid w:val="006A51C5"/>
    <w:rsid w:val="006A5988"/>
    <w:rsid w:val="006A698C"/>
    <w:rsid w:val="006B0314"/>
    <w:rsid w:val="006B0856"/>
    <w:rsid w:val="006B360E"/>
    <w:rsid w:val="006B55AC"/>
    <w:rsid w:val="006B5FBB"/>
    <w:rsid w:val="006B7457"/>
    <w:rsid w:val="006B78F7"/>
    <w:rsid w:val="006C11DC"/>
    <w:rsid w:val="006C137F"/>
    <w:rsid w:val="006C24F1"/>
    <w:rsid w:val="006C2C71"/>
    <w:rsid w:val="006C4039"/>
    <w:rsid w:val="006C4B43"/>
    <w:rsid w:val="006C7242"/>
    <w:rsid w:val="006D03FF"/>
    <w:rsid w:val="006D0A31"/>
    <w:rsid w:val="006D3084"/>
    <w:rsid w:val="006E0728"/>
    <w:rsid w:val="006E3319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20592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211"/>
    <w:rsid w:val="00736C63"/>
    <w:rsid w:val="007379C4"/>
    <w:rsid w:val="00740F0F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96E6A"/>
    <w:rsid w:val="007A25E8"/>
    <w:rsid w:val="007A3A05"/>
    <w:rsid w:val="007B18DF"/>
    <w:rsid w:val="007B1FA7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1A40"/>
    <w:rsid w:val="007E2DE2"/>
    <w:rsid w:val="007E3E63"/>
    <w:rsid w:val="007E46F8"/>
    <w:rsid w:val="007E7554"/>
    <w:rsid w:val="007E7727"/>
    <w:rsid w:val="007F1440"/>
    <w:rsid w:val="007F1745"/>
    <w:rsid w:val="007F2035"/>
    <w:rsid w:val="007F206C"/>
    <w:rsid w:val="0080094E"/>
    <w:rsid w:val="00802C93"/>
    <w:rsid w:val="008033F6"/>
    <w:rsid w:val="00803562"/>
    <w:rsid w:val="008035D5"/>
    <w:rsid w:val="00804F19"/>
    <w:rsid w:val="00805E27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0FE1"/>
    <w:rsid w:val="00821CEA"/>
    <w:rsid w:val="00823030"/>
    <w:rsid w:val="00826C50"/>
    <w:rsid w:val="0082736B"/>
    <w:rsid w:val="00830179"/>
    <w:rsid w:val="00830EF4"/>
    <w:rsid w:val="008335F9"/>
    <w:rsid w:val="0083541B"/>
    <w:rsid w:val="00835619"/>
    <w:rsid w:val="00836092"/>
    <w:rsid w:val="008375BD"/>
    <w:rsid w:val="00837D9E"/>
    <w:rsid w:val="008412B0"/>
    <w:rsid w:val="00841385"/>
    <w:rsid w:val="00841F04"/>
    <w:rsid w:val="008426CC"/>
    <w:rsid w:val="0084588C"/>
    <w:rsid w:val="00845B23"/>
    <w:rsid w:val="00845FF0"/>
    <w:rsid w:val="00846728"/>
    <w:rsid w:val="00846D06"/>
    <w:rsid w:val="008504BD"/>
    <w:rsid w:val="00853471"/>
    <w:rsid w:val="00853664"/>
    <w:rsid w:val="00855C62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433"/>
    <w:rsid w:val="00871405"/>
    <w:rsid w:val="008717CF"/>
    <w:rsid w:val="008726B5"/>
    <w:rsid w:val="00872E40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1D26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65FB"/>
    <w:rsid w:val="008B6DB4"/>
    <w:rsid w:val="008B72B3"/>
    <w:rsid w:val="008B76D1"/>
    <w:rsid w:val="008C3DF0"/>
    <w:rsid w:val="008D0BD9"/>
    <w:rsid w:val="008D3548"/>
    <w:rsid w:val="008E0212"/>
    <w:rsid w:val="008E080D"/>
    <w:rsid w:val="008E1A22"/>
    <w:rsid w:val="008E336A"/>
    <w:rsid w:val="008E4357"/>
    <w:rsid w:val="008E4B97"/>
    <w:rsid w:val="008E5A19"/>
    <w:rsid w:val="008E5C18"/>
    <w:rsid w:val="008E6456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340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EFC"/>
    <w:rsid w:val="009470EC"/>
    <w:rsid w:val="00947683"/>
    <w:rsid w:val="00951779"/>
    <w:rsid w:val="00953988"/>
    <w:rsid w:val="00953B7F"/>
    <w:rsid w:val="0095471E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5C4F"/>
    <w:rsid w:val="00966B94"/>
    <w:rsid w:val="00971D4D"/>
    <w:rsid w:val="009753C7"/>
    <w:rsid w:val="00976DDC"/>
    <w:rsid w:val="00977679"/>
    <w:rsid w:val="00980FD0"/>
    <w:rsid w:val="0098253C"/>
    <w:rsid w:val="00983752"/>
    <w:rsid w:val="009838A8"/>
    <w:rsid w:val="00984DA3"/>
    <w:rsid w:val="00991DF9"/>
    <w:rsid w:val="00992574"/>
    <w:rsid w:val="00992ACE"/>
    <w:rsid w:val="00993E99"/>
    <w:rsid w:val="00994073"/>
    <w:rsid w:val="00995389"/>
    <w:rsid w:val="00995BBA"/>
    <w:rsid w:val="00995FAC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6944"/>
    <w:rsid w:val="009E79EA"/>
    <w:rsid w:val="009F1CA0"/>
    <w:rsid w:val="009F3476"/>
    <w:rsid w:val="009F7E78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4F9B"/>
    <w:rsid w:val="00A47734"/>
    <w:rsid w:val="00A478F8"/>
    <w:rsid w:val="00A513AD"/>
    <w:rsid w:val="00A526F1"/>
    <w:rsid w:val="00A533C2"/>
    <w:rsid w:val="00A54D05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5CA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2295"/>
    <w:rsid w:val="00AB252B"/>
    <w:rsid w:val="00AB2C39"/>
    <w:rsid w:val="00AB2E10"/>
    <w:rsid w:val="00AB31A0"/>
    <w:rsid w:val="00AB3515"/>
    <w:rsid w:val="00AB77AD"/>
    <w:rsid w:val="00AB7B9E"/>
    <w:rsid w:val="00AC0E53"/>
    <w:rsid w:val="00AC1B80"/>
    <w:rsid w:val="00AC22C0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344"/>
    <w:rsid w:val="00AE0BFF"/>
    <w:rsid w:val="00AE560F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0DA6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957"/>
    <w:rsid w:val="00B339C2"/>
    <w:rsid w:val="00B33E37"/>
    <w:rsid w:val="00B33FD7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7D5"/>
    <w:rsid w:val="00B51B84"/>
    <w:rsid w:val="00B51ED0"/>
    <w:rsid w:val="00B53F5E"/>
    <w:rsid w:val="00B54A29"/>
    <w:rsid w:val="00B55795"/>
    <w:rsid w:val="00B56C62"/>
    <w:rsid w:val="00B600BB"/>
    <w:rsid w:val="00B622D3"/>
    <w:rsid w:val="00B62ADC"/>
    <w:rsid w:val="00B63292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5F0D"/>
    <w:rsid w:val="00B96906"/>
    <w:rsid w:val="00B96BA5"/>
    <w:rsid w:val="00B96D69"/>
    <w:rsid w:val="00BA174B"/>
    <w:rsid w:val="00BA1AC2"/>
    <w:rsid w:val="00BA1F16"/>
    <w:rsid w:val="00BA2F7E"/>
    <w:rsid w:val="00BA4D0D"/>
    <w:rsid w:val="00BB1BE9"/>
    <w:rsid w:val="00BB2CBC"/>
    <w:rsid w:val="00BB3DA9"/>
    <w:rsid w:val="00BB4F13"/>
    <w:rsid w:val="00BB5C32"/>
    <w:rsid w:val="00BC00CD"/>
    <w:rsid w:val="00BC1758"/>
    <w:rsid w:val="00BC18C4"/>
    <w:rsid w:val="00BC1DF0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E51"/>
    <w:rsid w:val="00BE3442"/>
    <w:rsid w:val="00BE5656"/>
    <w:rsid w:val="00BE58A0"/>
    <w:rsid w:val="00BE7B1A"/>
    <w:rsid w:val="00BF1094"/>
    <w:rsid w:val="00BF14C6"/>
    <w:rsid w:val="00BF39D2"/>
    <w:rsid w:val="00BF4147"/>
    <w:rsid w:val="00C00FB6"/>
    <w:rsid w:val="00C021FB"/>
    <w:rsid w:val="00C03EC7"/>
    <w:rsid w:val="00C06C89"/>
    <w:rsid w:val="00C14D45"/>
    <w:rsid w:val="00C1633E"/>
    <w:rsid w:val="00C178F9"/>
    <w:rsid w:val="00C20A2C"/>
    <w:rsid w:val="00C20C51"/>
    <w:rsid w:val="00C218B5"/>
    <w:rsid w:val="00C2364E"/>
    <w:rsid w:val="00C253B7"/>
    <w:rsid w:val="00C26B4E"/>
    <w:rsid w:val="00C270D3"/>
    <w:rsid w:val="00C27921"/>
    <w:rsid w:val="00C30BF1"/>
    <w:rsid w:val="00C30D16"/>
    <w:rsid w:val="00C31BF3"/>
    <w:rsid w:val="00C31CDA"/>
    <w:rsid w:val="00C323EC"/>
    <w:rsid w:val="00C3260F"/>
    <w:rsid w:val="00C32AA3"/>
    <w:rsid w:val="00C356E3"/>
    <w:rsid w:val="00C36DBD"/>
    <w:rsid w:val="00C41D9C"/>
    <w:rsid w:val="00C42315"/>
    <w:rsid w:val="00C4308F"/>
    <w:rsid w:val="00C43D0D"/>
    <w:rsid w:val="00C45288"/>
    <w:rsid w:val="00C45F71"/>
    <w:rsid w:val="00C513C2"/>
    <w:rsid w:val="00C51668"/>
    <w:rsid w:val="00C535A5"/>
    <w:rsid w:val="00C53633"/>
    <w:rsid w:val="00C57D43"/>
    <w:rsid w:val="00C605D2"/>
    <w:rsid w:val="00C605D7"/>
    <w:rsid w:val="00C63043"/>
    <w:rsid w:val="00C6372A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77833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7F13"/>
    <w:rsid w:val="00CA0A2E"/>
    <w:rsid w:val="00CA2545"/>
    <w:rsid w:val="00CA541B"/>
    <w:rsid w:val="00CA6190"/>
    <w:rsid w:val="00CB03F3"/>
    <w:rsid w:val="00CB43E9"/>
    <w:rsid w:val="00CB51A9"/>
    <w:rsid w:val="00CB6D24"/>
    <w:rsid w:val="00CB78F7"/>
    <w:rsid w:val="00CC04EE"/>
    <w:rsid w:val="00CC10BF"/>
    <w:rsid w:val="00CC27DA"/>
    <w:rsid w:val="00CC3D63"/>
    <w:rsid w:val="00CC40DE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E345B"/>
    <w:rsid w:val="00CE7BA9"/>
    <w:rsid w:val="00CF01C2"/>
    <w:rsid w:val="00CF0884"/>
    <w:rsid w:val="00CF0C96"/>
    <w:rsid w:val="00CF19C3"/>
    <w:rsid w:val="00CF3DAB"/>
    <w:rsid w:val="00CF5C20"/>
    <w:rsid w:val="00CF6723"/>
    <w:rsid w:val="00CF73CB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3FD"/>
    <w:rsid w:val="00D2258E"/>
    <w:rsid w:val="00D22D0F"/>
    <w:rsid w:val="00D2343A"/>
    <w:rsid w:val="00D255D8"/>
    <w:rsid w:val="00D25FF0"/>
    <w:rsid w:val="00D2632C"/>
    <w:rsid w:val="00D27AC2"/>
    <w:rsid w:val="00D27E38"/>
    <w:rsid w:val="00D31DDF"/>
    <w:rsid w:val="00D3257E"/>
    <w:rsid w:val="00D33609"/>
    <w:rsid w:val="00D33E4F"/>
    <w:rsid w:val="00D33F1C"/>
    <w:rsid w:val="00D34E73"/>
    <w:rsid w:val="00D35565"/>
    <w:rsid w:val="00D35B61"/>
    <w:rsid w:val="00D35E0C"/>
    <w:rsid w:val="00D35FAD"/>
    <w:rsid w:val="00D400A5"/>
    <w:rsid w:val="00D4026B"/>
    <w:rsid w:val="00D44B4D"/>
    <w:rsid w:val="00D4522C"/>
    <w:rsid w:val="00D45B77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5BFF"/>
    <w:rsid w:val="00D67404"/>
    <w:rsid w:val="00D7290B"/>
    <w:rsid w:val="00D7567A"/>
    <w:rsid w:val="00D76E71"/>
    <w:rsid w:val="00D776DD"/>
    <w:rsid w:val="00D806A0"/>
    <w:rsid w:val="00D8095A"/>
    <w:rsid w:val="00D82209"/>
    <w:rsid w:val="00D83A31"/>
    <w:rsid w:val="00D83A67"/>
    <w:rsid w:val="00D8453F"/>
    <w:rsid w:val="00D85FC2"/>
    <w:rsid w:val="00D85FCE"/>
    <w:rsid w:val="00D91179"/>
    <w:rsid w:val="00D96FF7"/>
    <w:rsid w:val="00D97492"/>
    <w:rsid w:val="00D97EC1"/>
    <w:rsid w:val="00DA3AA6"/>
    <w:rsid w:val="00DA40B1"/>
    <w:rsid w:val="00DA475C"/>
    <w:rsid w:val="00DA4CB1"/>
    <w:rsid w:val="00DA51E6"/>
    <w:rsid w:val="00DA7034"/>
    <w:rsid w:val="00DA7D1A"/>
    <w:rsid w:val="00DB277D"/>
    <w:rsid w:val="00DB3562"/>
    <w:rsid w:val="00DB388C"/>
    <w:rsid w:val="00DB558D"/>
    <w:rsid w:val="00DB6594"/>
    <w:rsid w:val="00DB7992"/>
    <w:rsid w:val="00DB7F8D"/>
    <w:rsid w:val="00DC06BF"/>
    <w:rsid w:val="00DC0CFA"/>
    <w:rsid w:val="00DC1233"/>
    <w:rsid w:val="00DC486B"/>
    <w:rsid w:val="00DC52B8"/>
    <w:rsid w:val="00DC5441"/>
    <w:rsid w:val="00DC56A2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32EE"/>
    <w:rsid w:val="00DF549E"/>
    <w:rsid w:val="00DF60F4"/>
    <w:rsid w:val="00DF61B7"/>
    <w:rsid w:val="00DF6666"/>
    <w:rsid w:val="00E01693"/>
    <w:rsid w:val="00E01F9A"/>
    <w:rsid w:val="00E03945"/>
    <w:rsid w:val="00E03EAC"/>
    <w:rsid w:val="00E06716"/>
    <w:rsid w:val="00E0781D"/>
    <w:rsid w:val="00E07DF5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06E"/>
    <w:rsid w:val="00E222D8"/>
    <w:rsid w:val="00E22B48"/>
    <w:rsid w:val="00E23013"/>
    <w:rsid w:val="00E2424B"/>
    <w:rsid w:val="00E25452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56F18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6D8E"/>
    <w:rsid w:val="00EA745C"/>
    <w:rsid w:val="00EB1C42"/>
    <w:rsid w:val="00EB23FD"/>
    <w:rsid w:val="00EB2AE3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27F0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6645F"/>
    <w:rsid w:val="00F7089F"/>
    <w:rsid w:val="00F7094A"/>
    <w:rsid w:val="00F71604"/>
    <w:rsid w:val="00F72899"/>
    <w:rsid w:val="00F7377E"/>
    <w:rsid w:val="00F761DD"/>
    <w:rsid w:val="00F81EF4"/>
    <w:rsid w:val="00F83162"/>
    <w:rsid w:val="00F84AF8"/>
    <w:rsid w:val="00F84E29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814"/>
    <w:rsid w:val="00FC1EBD"/>
    <w:rsid w:val="00FC4E0F"/>
    <w:rsid w:val="00FC572F"/>
    <w:rsid w:val="00FC585E"/>
    <w:rsid w:val="00FC5B9E"/>
    <w:rsid w:val="00FC71D7"/>
    <w:rsid w:val="00FC75EA"/>
    <w:rsid w:val="00FC7B3D"/>
    <w:rsid w:val="00FD0CDD"/>
    <w:rsid w:val="00FD1160"/>
    <w:rsid w:val="00FD23B4"/>
    <w:rsid w:val="00FD31E5"/>
    <w:rsid w:val="00FD589F"/>
    <w:rsid w:val="00FD7375"/>
    <w:rsid w:val="00FE2243"/>
    <w:rsid w:val="00FE2C6C"/>
    <w:rsid w:val="00FE2D2A"/>
    <w:rsid w:val="00FE2D76"/>
    <w:rsid w:val="00FE3BA0"/>
    <w:rsid w:val="00FE4836"/>
    <w:rsid w:val="00FE4F34"/>
    <w:rsid w:val="00FE5EAF"/>
    <w:rsid w:val="00FE6C3A"/>
    <w:rsid w:val="00FF277A"/>
    <w:rsid w:val="00FF29B6"/>
    <w:rsid w:val="00FF34B0"/>
    <w:rsid w:val="00FF3791"/>
    <w:rsid w:val="00FF5E09"/>
    <w:rsid w:val="578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FIN33527-1747701680-103099</_dlc_DocId>
    <_dlc_DocIdUrl xmlns="06f25368-99a9-4d72-b586-c08ad003de0b">
      <Url>https://f1.prdmgd.finance.gov.au/sites/50033527/_layouts/15/DocIdRedir.aspx?ID=FIN33527-1747701680-103099</Url>
      <Description>FIN33527-1747701680-103099</Description>
    </_dlc_DocIdUrl>
  </documentManagement>
</p:properties>
</file>

<file path=customXml/itemProps1.xml><?xml version="1.0" encoding="utf-8"?>
<ds:datastoreItem xmlns:ds="http://schemas.openxmlformats.org/officeDocument/2006/customXml" ds:itemID="{832EAA73-72CB-4CBB-B2F6-E63263A01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DC0FE-7CEA-4E31-8D43-6E3BB0FDE0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849258-2414-4D8D-B213-0181BB45B7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1D2AB9-2ADD-4AF4-AD5A-8F5E37E61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685039-092C-4B09-8C15-4BFAC4650A51}">
  <ds:schemaRefs>
    <ds:schemaRef ds:uri="06f25368-99a9-4d72-b586-c08ad003de0b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82ff9d9b-d3fc-4aad-bc42-9949ee83b81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release of costing - pro forma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release of costing - pro forma</dc:title>
  <dc:subject/>
  <dc:creator/>
  <cp:keywords/>
  <cp:lastModifiedBy/>
  <cp:revision>1</cp:revision>
  <dcterms:created xsi:type="dcterms:W3CDTF">2022-05-16T00:59:00Z</dcterms:created>
  <dcterms:modified xsi:type="dcterms:W3CDTF">2022-05-16T01:01:00Z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0x010100B321FEA60C5BA343A52BC94EC00ABC9E0700CBB09F3E7419694A957E1A5A78204E4D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1;#Budget Policy and Coordination|17ee49bf-b5ad-4a1d-82f9-550fc395193a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d5ba6883-834b-47eb-9b87-fa04f5a726c9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</Properties>
</file>