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6975" w14:textId="32E686B5" w:rsidR="005E1308" w:rsidRPr="002F34D5" w:rsidRDefault="00463CCE" w:rsidP="005E1308">
      <w:pPr>
        <w:pStyle w:val="PageHeading"/>
        <w:rPr>
          <w:smallCaps/>
          <w:sz w:val="16"/>
          <w:szCs w:val="16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2046E8DD" wp14:editId="6657F128">
            <wp:extent cx="1410159" cy="1178342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66" cy="122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27BCD" w14:textId="4ABA50B3" w:rsidR="005E1308" w:rsidRPr="000856CB" w:rsidRDefault="005E1308" w:rsidP="005E1308">
      <w:pPr>
        <w:pStyle w:val="PageHeading"/>
        <w:rPr>
          <w:rFonts w:asciiTheme="minorHAnsi" w:hAnsiTheme="minorHAnsi" w:cstheme="minorHAnsi"/>
          <w:smallCaps/>
          <w:sz w:val="24"/>
          <w:szCs w:val="22"/>
        </w:rPr>
      </w:pPr>
      <w:r w:rsidRPr="000856CB">
        <w:rPr>
          <w:rFonts w:asciiTheme="minorHAnsi" w:hAnsiTheme="minorHAnsi" w:cstheme="minorHAnsi"/>
          <w:smallCaps/>
          <w:sz w:val="24"/>
          <w:szCs w:val="22"/>
        </w:rPr>
        <w:t xml:space="preserve">PUBLIC RELEASE OF </w:t>
      </w:r>
      <w:r w:rsidR="0028439B" w:rsidRPr="000856CB">
        <w:rPr>
          <w:rFonts w:asciiTheme="minorHAnsi" w:hAnsiTheme="minorHAnsi" w:cstheme="minorHAnsi"/>
          <w:smallCaps/>
          <w:sz w:val="24"/>
          <w:szCs w:val="22"/>
        </w:rPr>
        <w:t>2022</w:t>
      </w:r>
      <w:r w:rsidR="00B64970" w:rsidRPr="000856CB">
        <w:rPr>
          <w:rFonts w:asciiTheme="minorHAnsi" w:hAnsiTheme="minorHAnsi" w:cstheme="minorHAnsi"/>
          <w:smallCaps/>
          <w:sz w:val="24"/>
          <w:szCs w:val="22"/>
        </w:rPr>
        <w:t xml:space="preserve"> </w:t>
      </w:r>
      <w:r w:rsidRPr="000856CB">
        <w:rPr>
          <w:rFonts w:asciiTheme="minorHAnsi" w:hAnsiTheme="minorHAnsi" w:cstheme="minorHAnsi"/>
          <w:smallCaps/>
          <w:sz w:val="24"/>
          <w:szCs w:val="22"/>
        </w:rPr>
        <w:t>ELECTION COMMITMENT COSTING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6007"/>
      </w:tblGrid>
      <w:tr w:rsidR="005E1308" w:rsidRPr="00976DDC" w14:paraId="1EA915CF" w14:textId="77777777" w:rsidTr="008033F6">
        <w:tc>
          <w:tcPr>
            <w:tcW w:w="5000" w:type="pct"/>
            <w:gridSpan w:val="2"/>
            <w:shd w:val="pct10" w:color="auto" w:fill="auto"/>
          </w:tcPr>
          <w:p w14:paraId="2F74608F" w14:textId="13995BE6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Name of proposal costed:</w:t>
            </w:r>
            <w:r w:rsidR="006C11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E415D">
              <w:rPr>
                <w:rFonts w:asciiTheme="minorHAnsi" w:hAnsiTheme="minorHAnsi" w:cstheme="minorHAnsi"/>
                <w:b/>
                <w:sz w:val="22"/>
                <w:szCs w:val="22"/>
              </w:rPr>
              <w:t>Tourism Package</w:t>
            </w:r>
          </w:p>
        </w:tc>
      </w:tr>
      <w:tr w:rsidR="005B4E1B" w:rsidRPr="00976DDC" w14:paraId="4391B37C" w14:textId="77777777" w:rsidTr="00916340">
        <w:tc>
          <w:tcPr>
            <w:tcW w:w="1807" w:type="pct"/>
          </w:tcPr>
          <w:p w14:paraId="38D65DCF" w14:textId="1C5D9020" w:rsidR="005B4E1B" w:rsidRDefault="005B4E1B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Costing Identifier: </w:t>
            </w:r>
          </w:p>
        </w:tc>
        <w:tc>
          <w:tcPr>
            <w:tcW w:w="3193" w:type="pct"/>
          </w:tcPr>
          <w:p w14:paraId="12D9AB6A" w14:textId="07413131" w:rsidR="005B4E1B" w:rsidRPr="00976DDC" w:rsidRDefault="006C11DC" w:rsidP="0083793D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</w:t>
            </w:r>
            <w:r w:rsidR="0083793D">
              <w:rPr>
                <w:rFonts w:asciiTheme="minorHAnsi" w:hAnsiTheme="minorHAnsi" w:cstheme="minorHAnsi"/>
                <w:sz w:val="22"/>
                <w:szCs w:val="22"/>
              </w:rPr>
              <w:t xml:space="preserve"> 022</w:t>
            </w:r>
          </w:p>
        </w:tc>
      </w:tr>
      <w:tr w:rsidR="005E1308" w:rsidRPr="00976DDC" w14:paraId="5B29E5E7" w14:textId="77777777" w:rsidTr="00916340">
        <w:tc>
          <w:tcPr>
            <w:tcW w:w="1807" w:type="pct"/>
          </w:tcPr>
          <w:p w14:paraId="4EE6280D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 of costing:</w:t>
            </w:r>
          </w:p>
        </w:tc>
        <w:tc>
          <w:tcPr>
            <w:tcW w:w="3193" w:type="pct"/>
          </w:tcPr>
          <w:p w14:paraId="25BFAAFA" w14:textId="0D89DFE8" w:rsidR="009F6EC1" w:rsidRDefault="007E0BCF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F74D5">
              <w:rPr>
                <w:rFonts w:asciiTheme="minorHAnsi" w:hAnsiTheme="minorHAnsi" w:cstheme="minorHAnsi"/>
                <w:sz w:val="22"/>
                <w:szCs w:val="22"/>
              </w:rPr>
              <w:t xml:space="preserve">The proposal is to provide </w:t>
            </w:r>
            <w:r w:rsidR="00A01ECD" w:rsidRPr="00CF74D5">
              <w:rPr>
                <w:rFonts w:asciiTheme="minorHAnsi" w:hAnsiTheme="minorHAnsi" w:cstheme="minorHAnsi"/>
                <w:sz w:val="22"/>
                <w:szCs w:val="22"/>
              </w:rPr>
              <w:t>$2</w:t>
            </w:r>
            <w:r w:rsidRPr="00CF74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01ECD" w:rsidRPr="00CF74D5">
              <w:rPr>
                <w:rFonts w:asciiTheme="minorHAnsi" w:hAnsiTheme="minorHAnsi" w:cstheme="minorHAnsi"/>
                <w:sz w:val="22"/>
                <w:szCs w:val="22"/>
              </w:rPr>
              <w:t xml:space="preserve">.0 </w:t>
            </w:r>
            <w:r w:rsidR="009F6EC1" w:rsidRPr="00CF74D5">
              <w:rPr>
                <w:rFonts w:asciiTheme="minorHAnsi" w:hAnsiTheme="minorHAnsi" w:cstheme="minorHAnsi"/>
                <w:sz w:val="22"/>
                <w:szCs w:val="22"/>
              </w:rPr>
              <w:t xml:space="preserve">million </w:t>
            </w:r>
            <w:r w:rsidR="00A01ECD" w:rsidRPr="00CF74D5">
              <w:rPr>
                <w:rFonts w:asciiTheme="minorHAnsi" w:hAnsiTheme="minorHAnsi" w:cstheme="minorHAnsi"/>
                <w:sz w:val="22"/>
                <w:szCs w:val="22"/>
              </w:rPr>
              <w:t xml:space="preserve">over </w:t>
            </w:r>
            <w:r w:rsidR="00CF74D5" w:rsidRPr="00CF74D5">
              <w:rPr>
                <w:rFonts w:asciiTheme="minorHAnsi" w:hAnsiTheme="minorHAnsi" w:cstheme="minorHAnsi"/>
                <w:sz w:val="22"/>
                <w:szCs w:val="22"/>
              </w:rPr>
              <w:t>five</w:t>
            </w:r>
            <w:r w:rsidR="00A01ECD" w:rsidRPr="00CF74D5">
              <w:rPr>
                <w:rFonts w:asciiTheme="minorHAnsi" w:hAnsiTheme="minorHAnsi" w:cstheme="minorHAnsi"/>
                <w:sz w:val="22"/>
                <w:szCs w:val="22"/>
              </w:rPr>
              <w:t xml:space="preserve"> years </w:t>
            </w:r>
            <w:r w:rsidR="009F6EC1" w:rsidRPr="00CF74D5">
              <w:rPr>
                <w:rFonts w:asciiTheme="minorHAnsi" w:hAnsiTheme="minorHAnsi" w:cstheme="minorHAnsi"/>
                <w:sz w:val="22"/>
                <w:szCs w:val="22"/>
              </w:rPr>
              <w:t>to support the wine, sp</w:t>
            </w:r>
            <w:r w:rsidR="00B2108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F6EC1" w:rsidRPr="00CF74D5">
              <w:rPr>
                <w:rFonts w:asciiTheme="minorHAnsi" w:hAnsiTheme="minorHAnsi" w:cstheme="minorHAnsi"/>
                <w:sz w:val="22"/>
                <w:szCs w:val="22"/>
              </w:rPr>
              <w:t>rits and craft breweries sector</w:t>
            </w:r>
            <w:r w:rsidRPr="00CF74D5">
              <w:rPr>
                <w:rFonts w:asciiTheme="minorHAnsi" w:hAnsiTheme="minorHAnsi" w:cstheme="minorHAnsi"/>
                <w:sz w:val="22"/>
                <w:szCs w:val="22"/>
              </w:rPr>
              <w:t>, including</w:t>
            </w:r>
            <w:r w:rsidR="0065294B" w:rsidRPr="00CF74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BB97273" w14:textId="13F029F3" w:rsidR="009F6EC1" w:rsidRPr="009469F5" w:rsidRDefault="00D44043" w:rsidP="009469F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469F5">
              <w:rPr>
                <w:rFonts w:asciiTheme="minorHAnsi" w:hAnsiTheme="minorHAnsi" w:cstheme="minorHAnsi"/>
                <w:sz w:val="22"/>
                <w:szCs w:val="22"/>
              </w:rPr>
              <w:t xml:space="preserve">$15.0 </w:t>
            </w:r>
            <w:r w:rsidR="009F6EC1" w:rsidRPr="009469F5">
              <w:rPr>
                <w:rFonts w:asciiTheme="minorHAnsi" w:hAnsiTheme="minorHAnsi" w:cstheme="minorHAnsi"/>
                <w:sz w:val="22"/>
                <w:szCs w:val="22"/>
              </w:rPr>
              <w:t xml:space="preserve">million for grants of up to $100,000 </w:t>
            </w:r>
            <w:r w:rsidR="009F6EC1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>in matched funding for small to medium sized wineries,</w:t>
            </w:r>
            <w:r w:rsidR="0040704B" w:rsidRPr="009469F5">
              <w:rPr>
                <w:rFonts w:asciiTheme="minorHAnsi" w:hAnsiTheme="minorHAnsi" w:cstheme="minorHAnsi"/>
                <w:color w:val="1155CC"/>
                <w:sz w:val="22"/>
                <w:szCs w:val="22"/>
              </w:rPr>
              <w:t xml:space="preserve"> </w:t>
            </w:r>
            <w:r w:rsidR="009F6EC1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distilleries and </w:t>
            </w:r>
            <w:r w:rsidR="00872F58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craft </w:t>
            </w:r>
            <w:r w:rsidR="009F6EC1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>beer producers for the construction or upgrade of cellar door or tourism-associated facilities (excluding accommodation), such as restaurants, tour facilities and viewing platforms.</w:t>
            </w:r>
          </w:p>
          <w:p w14:paraId="07012F93" w14:textId="104B6DF0" w:rsidR="009F6EC1" w:rsidRPr="009469F5" w:rsidRDefault="009F6EC1" w:rsidP="009469F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  <w:r w:rsidR="00D44043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5.0 </w:t>
            </w:r>
            <w:r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>million for grants of up to $100,000 to tourism and local government organisations for the creation of new wine, spirits and craft brewer</w:t>
            </w:r>
            <w:r w:rsidR="007E0BCF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>y</w:t>
            </w:r>
            <w:r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tourism events and experiences.</w:t>
            </w:r>
          </w:p>
          <w:p w14:paraId="6E9B6977" w14:textId="7C81DD7F" w:rsidR="005E1308" w:rsidRPr="009469F5" w:rsidRDefault="00D44043" w:rsidP="009469F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$1.0 </w:t>
            </w:r>
            <w:r w:rsidR="009F6EC1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million </w:t>
            </w:r>
            <w:r w:rsidR="007E0BCF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>for</w:t>
            </w:r>
            <w:r w:rsidR="009F6EC1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feasibility study into </w:t>
            </w:r>
            <w:r w:rsidR="007E0BCF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establishment of </w:t>
            </w:r>
            <w:r w:rsidR="009F6EC1" w:rsidRPr="009469F5">
              <w:rPr>
                <w:rFonts w:asciiTheme="minorHAnsi" w:eastAsia="Calibri" w:hAnsiTheme="minorHAnsi" w:cstheme="minorHAnsi"/>
                <w:sz w:val="22"/>
                <w:szCs w:val="22"/>
              </w:rPr>
              <w:t>a tourism skills training school on the Mornington Peninsula.</w:t>
            </w:r>
          </w:p>
        </w:tc>
      </w:tr>
      <w:tr w:rsidR="00BC7798" w:rsidRPr="00976DDC" w14:paraId="6DBB6A19" w14:textId="77777777" w:rsidTr="00916340">
        <w:tc>
          <w:tcPr>
            <w:tcW w:w="1807" w:type="pct"/>
          </w:tcPr>
          <w:p w14:paraId="7165A981" w14:textId="77777777" w:rsidR="00BC7798" w:rsidRPr="00976DDC" w:rsidRDefault="00BC779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Ongoing or Terminating 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3193" w:type="pct"/>
          </w:tcPr>
          <w:p w14:paraId="6424AADA" w14:textId="52BC2405" w:rsidR="00BC7798" w:rsidRPr="00976DDC" w:rsidRDefault="005E48B9" w:rsidP="005E48B9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Terminating </w:t>
            </w:r>
            <w:r w:rsidR="00CF74D5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9F6EC1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="000E09F8">
              <w:rPr>
                <w:rFonts w:asciiTheme="minorHAnsi" w:hAnsiTheme="minorHAnsi" w:cstheme="minorHAnsi"/>
                <w:sz w:val="22"/>
                <w:szCs w:val="22"/>
              </w:rPr>
              <w:t>June 2026</w:t>
            </w:r>
            <w:r w:rsidR="00AB1B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4A480569" w14:textId="77777777" w:rsidTr="00916340">
        <w:tc>
          <w:tcPr>
            <w:tcW w:w="1807" w:type="pct"/>
          </w:tcPr>
          <w:p w14:paraId="49E2396B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making the request:</w:t>
            </w:r>
          </w:p>
        </w:tc>
        <w:tc>
          <w:tcPr>
            <w:tcW w:w="3193" w:type="pct"/>
          </w:tcPr>
          <w:p w14:paraId="06C18CED" w14:textId="1716B685" w:rsidR="005E1308" w:rsidRPr="00976DDC" w:rsidRDefault="009F6EC1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Prime Minister</w:t>
            </w:r>
            <w:r w:rsidR="00CF74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E1308" w:rsidRPr="00976DDC" w14:paraId="2FB23F26" w14:textId="77777777" w:rsidTr="00916340">
        <w:tc>
          <w:tcPr>
            <w:tcW w:w="1807" w:type="pct"/>
          </w:tcPr>
          <w:p w14:paraId="48047884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costing request received:</w:t>
            </w:r>
          </w:p>
        </w:tc>
        <w:tc>
          <w:tcPr>
            <w:tcW w:w="3193" w:type="pct"/>
          </w:tcPr>
          <w:p w14:paraId="6E9044F4" w14:textId="6F0704E5" w:rsidR="005E1308" w:rsidRPr="00976DDC" w:rsidRDefault="00FC3489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9F6EC1">
              <w:rPr>
                <w:rFonts w:asciiTheme="minorHAnsi" w:hAnsiTheme="minorHAnsi" w:cstheme="minorHAnsi"/>
                <w:sz w:val="22"/>
                <w:szCs w:val="22"/>
              </w:rPr>
              <w:t xml:space="preserve"> May 20</w:t>
            </w:r>
            <w:r w:rsidR="00CF74D5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</w:tr>
      <w:tr w:rsidR="005E1308" w:rsidRPr="00976DDC" w14:paraId="5C17EE4C" w14:textId="77777777" w:rsidTr="00916340">
        <w:tc>
          <w:tcPr>
            <w:tcW w:w="1807" w:type="pct"/>
          </w:tcPr>
          <w:p w14:paraId="642D6E0B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te of public release of policy:</w:t>
            </w:r>
          </w:p>
        </w:tc>
        <w:tc>
          <w:tcPr>
            <w:tcW w:w="3193" w:type="pct"/>
          </w:tcPr>
          <w:p w14:paraId="3DE382A6" w14:textId="76065E73" w:rsidR="005E1308" w:rsidRPr="00976DDC" w:rsidRDefault="00CF74D5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May 2022 and 28 April 2022.</w:t>
            </w:r>
          </w:p>
        </w:tc>
      </w:tr>
      <w:tr w:rsidR="005E1308" w:rsidRPr="00976DDC" w14:paraId="4EA07882" w14:textId="77777777" w:rsidTr="00916340">
        <w:tc>
          <w:tcPr>
            <w:tcW w:w="1807" w:type="pct"/>
          </w:tcPr>
          <w:p w14:paraId="1D1DCB34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Date costing completed:</w:t>
            </w:r>
          </w:p>
        </w:tc>
        <w:tc>
          <w:tcPr>
            <w:tcW w:w="3193" w:type="pct"/>
          </w:tcPr>
          <w:p w14:paraId="1B094B75" w14:textId="44AED962" w:rsidR="005E1308" w:rsidRPr="00976DDC" w:rsidRDefault="000C0C5E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0C5E">
              <w:rPr>
                <w:rFonts w:asciiTheme="minorHAnsi" w:hAnsiTheme="minorHAnsi" w:cstheme="minorHAnsi"/>
                <w:sz w:val="22"/>
                <w:szCs w:val="22"/>
              </w:rPr>
              <w:t xml:space="preserve">16 May 2022. </w:t>
            </w:r>
          </w:p>
        </w:tc>
      </w:tr>
      <w:tr w:rsidR="005E1308" w:rsidRPr="00976DDC" w14:paraId="736E63CF" w14:textId="77777777" w:rsidTr="00916340">
        <w:tc>
          <w:tcPr>
            <w:tcW w:w="1807" w:type="pct"/>
          </w:tcPr>
          <w:p w14:paraId="7D3BE51F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 requested 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date):</w:t>
            </w:r>
          </w:p>
        </w:tc>
        <w:tc>
          <w:tcPr>
            <w:tcW w:w="3193" w:type="pct"/>
          </w:tcPr>
          <w:p w14:paraId="7DD1C48D" w14:textId="0D5517A8" w:rsidR="005E1308" w:rsidRPr="00976DDC" w:rsidRDefault="0083793D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applicable.</w:t>
            </w:r>
          </w:p>
        </w:tc>
      </w:tr>
      <w:tr w:rsidR="005E1308" w:rsidRPr="00976DDC" w14:paraId="366E7F7F" w14:textId="77777777" w:rsidTr="00916340">
        <w:tc>
          <w:tcPr>
            <w:tcW w:w="1807" w:type="pct"/>
          </w:tcPr>
          <w:p w14:paraId="6CF7EF83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ion received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(including date):</w:t>
            </w:r>
          </w:p>
        </w:tc>
        <w:tc>
          <w:tcPr>
            <w:tcW w:w="3193" w:type="pct"/>
          </w:tcPr>
          <w:p w14:paraId="7EAC6368" w14:textId="0D05F78E" w:rsidR="005E1308" w:rsidRPr="00976DDC" w:rsidRDefault="0083793D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applicable.</w:t>
            </w:r>
          </w:p>
        </w:tc>
      </w:tr>
    </w:tbl>
    <w:p w14:paraId="1F91DF8B" w14:textId="77777777" w:rsidR="0083793D" w:rsidRDefault="00BC7798" w:rsidP="008033F6">
      <w:pPr>
        <w:pStyle w:val="ChartandTableFootnoteAlpha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  <w:szCs w:val="22"/>
        </w:rPr>
      </w:pPr>
      <w:r w:rsidRPr="00736211">
        <w:rPr>
          <w:rFonts w:asciiTheme="minorHAnsi" w:hAnsiTheme="minorHAnsi" w:cstheme="minorHAnsi"/>
          <w:sz w:val="18"/>
          <w:szCs w:val="22"/>
        </w:rPr>
        <w:t xml:space="preserve">(a) </w:t>
      </w:r>
      <w:r w:rsidR="00555CBF" w:rsidRPr="00736211">
        <w:rPr>
          <w:rFonts w:asciiTheme="minorHAnsi" w:hAnsiTheme="minorHAnsi" w:cstheme="minorHAnsi"/>
          <w:sz w:val="18"/>
          <w:szCs w:val="22"/>
        </w:rPr>
        <w:t xml:space="preserve">Ongoing policies continue indefinitely (until a decision is made to cease or alter the program). </w:t>
      </w:r>
      <w:r w:rsidR="00BD64BF" w:rsidRPr="00736211">
        <w:rPr>
          <w:rFonts w:asciiTheme="minorHAnsi" w:hAnsiTheme="minorHAnsi" w:cstheme="minorHAnsi"/>
          <w:sz w:val="18"/>
          <w:szCs w:val="22"/>
        </w:rPr>
        <w:t xml:space="preserve">Terminating measures end on a date set out in the initial policy and a </w:t>
      </w:r>
      <w:r w:rsidR="00BD64BF" w:rsidRPr="008033F6">
        <w:rPr>
          <w:rFonts w:asciiTheme="minorHAnsi" w:hAnsiTheme="minorHAnsi" w:cstheme="minorHAnsi"/>
          <w:sz w:val="18"/>
        </w:rPr>
        <w:t>further</w:t>
      </w:r>
      <w:r w:rsidR="00BD64BF" w:rsidRPr="00736211">
        <w:rPr>
          <w:rFonts w:asciiTheme="minorHAnsi" w:hAnsiTheme="minorHAnsi" w:cstheme="minorHAnsi"/>
          <w:sz w:val="18"/>
          <w:szCs w:val="22"/>
        </w:rPr>
        <w:t xml:space="preserve"> decision is required to continue the program beyond this date</w:t>
      </w:r>
    </w:p>
    <w:p w14:paraId="0596586F" w14:textId="463B2F53" w:rsidR="0083793D" w:rsidRDefault="0083793D" w:rsidP="0083793D">
      <w:pPr>
        <w:spacing w:after="0" w:line="240" w:lineRule="auto"/>
        <w:jc w:val="left"/>
        <w:rPr>
          <w:rFonts w:asciiTheme="minorHAnsi" w:hAnsiTheme="minorHAnsi" w:cstheme="minorHAnsi"/>
          <w:sz w:val="18"/>
          <w:szCs w:val="22"/>
        </w:rPr>
      </w:pPr>
    </w:p>
    <w:p w14:paraId="433BB649" w14:textId="55430B69" w:rsidR="00C83648" w:rsidRPr="0083793D" w:rsidRDefault="0083793D" w:rsidP="0083793D">
      <w:pPr>
        <w:spacing w:after="0" w:line="240" w:lineRule="auto"/>
        <w:jc w:val="lef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br w:type="page"/>
      </w:r>
    </w:p>
    <w:p w14:paraId="64CCE1EA" w14:textId="77777777" w:rsidR="00BC7798" w:rsidRPr="00976DDC" w:rsidRDefault="00BC7798" w:rsidP="00BC7798">
      <w:pPr>
        <w:pStyle w:val="Headings"/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lastRenderedPageBreak/>
        <w:t>Financial implications (outturn prices</w:t>
      </w:r>
      <w:proofErr w:type="gramStart"/>
      <w:r w:rsidRPr="00976DDC">
        <w:rPr>
          <w:rFonts w:asciiTheme="minorHAnsi" w:hAnsiTheme="minorHAnsi" w:cstheme="minorHAnsi"/>
          <w:sz w:val="22"/>
          <w:szCs w:val="22"/>
        </w:rPr>
        <w:t>)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proofErr w:type="gramEnd"/>
      <w:r w:rsidR="00CD3EF8" w:rsidRPr="00976DDC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113"/>
        <w:gridCol w:w="1259"/>
        <w:gridCol w:w="1259"/>
        <w:gridCol w:w="1259"/>
        <w:gridCol w:w="1259"/>
        <w:gridCol w:w="1257"/>
      </w:tblGrid>
      <w:tr w:rsidR="00323E35" w:rsidRPr="00916340" w14:paraId="0D2F8992" w14:textId="77777777" w:rsidTr="008B76D1">
        <w:tc>
          <w:tcPr>
            <w:tcW w:w="1655" w:type="pct"/>
            <w:shd w:val="pct10" w:color="auto" w:fill="auto"/>
          </w:tcPr>
          <w:p w14:paraId="2303AE38" w14:textId="77777777" w:rsidR="00323E35" w:rsidRPr="00916340" w:rsidRDefault="00323E35" w:rsidP="00CD3EF8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Impact on</w:t>
            </w:r>
          </w:p>
        </w:tc>
        <w:tc>
          <w:tcPr>
            <w:tcW w:w="669" w:type="pct"/>
            <w:shd w:val="pct10" w:color="auto" w:fill="auto"/>
          </w:tcPr>
          <w:p w14:paraId="5F3F5682" w14:textId="0940F8E8" w:rsidR="00323E35" w:rsidRPr="00916340" w:rsidRDefault="00323E35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</w:t>
            </w:r>
            <w:r w:rsidR="00333D12" w:rsidRPr="00916340">
              <w:rPr>
                <w:rFonts w:asciiTheme="minorHAnsi" w:hAnsiTheme="minorHAnsi" w:cstheme="minorHAnsi"/>
                <w:szCs w:val="22"/>
              </w:rPr>
              <w:t>21-22</w:t>
            </w:r>
          </w:p>
        </w:tc>
        <w:tc>
          <w:tcPr>
            <w:tcW w:w="669" w:type="pct"/>
            <w:shd w:val="pct10" w:color="auto" w:fill="auto"/>
          </w:tcPr>
          <w:p w14:paraId="1BE6B3F6" w14:textId="1FB1D1FA" w:rsidR="00323E35" w:rsidRPr="00916340" w:rsidRDefault="00333D12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2022-23</w:t>
            </w:r>
          </w:p>
        </w:tc>
        <w:tc>
          <w:tcPr>
            <w:tcW w:w="669" w:type="pct"/>
            <w:shd w:val="pct10" w:color="auto" w:fill="auto"/>
          </w:tcPr>
          <w:p w14:paraId="7C92AC12" w14:textId="66F0660C" w:rsidR="00323E35" w:rsidRPr="00916340" w:rsidRDefault="00333D12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2023-24</w:t>
            </w:r>
          </w:p>
        </w:tc>
        <w:tc>
          <w:tcPr>
            <w:tcW w:w="669" w:type="pct"/>
            <w:shd w:val="pct10" w:color="auto" w:fill="auto"/>
          </w:tcPr>
          <w:p w14:paraId="21E0283A" w14:textId="50BFFE33" w:rsidR="00323E35" w:rsidRPr="00916340" w:rsidRDefault="00333D12" w:rsidP="00B66393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2024-25</w:t>
            </w:r>
          </w:p>
        </w:tc>
        <w:tc>
          <w:tcPr>
            <w:tcW w:w="668" w:type="pct"/>
            <w:shd w:val="pct10" w:color="auto" w:fill="auto"/>
          </w:tcPr>
          <w:p w14:paraId="2F73EBF3" w14:textId="4391BB23" w:rsidR="00323E35" w:rsidRPr="00916340" w:rsidRDefault="00333D12" w:rsidP="00B66393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2025-26</w:t>
            </w:r>
          </w:p>
        </w:tc>
      </w:tr>
      <w:tr w:rsidR="008B76D1" w:rsidRPr="00916340" w14:paraId="035059F7" w14:textId="77777777" w:rsidTr="008B76D1">
        <w:tc>
          <w:tcPr>
            <w:tcW w:w="1655" w:type="pct"/>
          </w:tcPr>
          <w:p w14:paraId="73BD53AB" w14:textId="77777777" w:rsidR="008B76D1" w:rsidRPr="00916340" w:rsidRDefault="008B76D1" w:rsidP="008B76D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Underlying Cash Balance (UCB) ($m)</w:t>
            </w:r>
          </w:p>
        </w:tc>
        <w:tc>
          <w:tcPr>
            <w:tcW w:w="669" w:type="pct"/>
          </w:tcPr>
          <w:p w14:paraId="413FB8B6" w14:textId="354D53D3" w:rsidR="008B76D1" w:rsidRPr="00916340" w:rsidRDefault="000E09F8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669" w:type="pct"/>
          </w:tcPr>
          <w:p w14:paraId="449E060B" w14:textId="6C42AF53" w:rsidR="008B76D1" w:rsidRPr="00916340" w:rsidRDefault="007E0BC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</w:t>
            </w:r>
            <w:r w:rsidR="000E09F8">
              <w:rPr>
                <w:rFonts w:asciiTheme="minorHAnsi" w:hAnsiTheme="minorHAnsi" w:cstheme="minorHAnsi"/>
                <w:sz w:val="20"/>
                <w:szCs w:val="22"/>
              </w:rPr>
              <w:t>5.0</w:t>
            </w:r>
          </w:p>
        </w:tc>
        <w:tc>
          <w:tcPr>
            <w:tcW w:w="669" w:type="pct"/>
          </w:tcPr>
          <w:p w14:paraId="7D5AAB5C" w14:textId="6934FC10" w:rsidR="008B76D1" w:rsidRPr="00916340" w:rsidRDefault="007E0BC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</w:t>
            </w:r>
            <w:r w:rsidR="000E09F8">
              <w:rPr>
                <w:rFonts w:asciiTheme="minorHAnsi" w:hAnsiTheme="minorHAnsi" w:cstheme="minorHAnsi"/>
                <w:sz w:val="20"/>
                <w:szCs w:val="22"/>
              </w:rPr>
              <w:t>4.0</w:t>
            </w:r>
          </w:p>
        </w:tc>
        <w:tc>
          <w:tcPr>
            <w:tcW w:w="669" w:type="pct"/>
          </w:tcPr>
          <w:p w14:paraId="1A6CE0AF" w14:textId="06597374" w:rsidR="008B76D1" w:rsidRPr="00916340" w:rsidRDefault="007E0BC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</w:t>
            </w:r>
            <w:r w:rsidR="000E09F8">
              <w:rPr>
                <w:rFonts w:asciiTheme="minorHAnsi" w:hAnsiTheme="minorHAnsi" w:cstheme="minorHAnsi"/>
                <w:sz w:val="20"/>
                <w:szCs w:val="22"/>
              </w:rPr>
              <w:t>6.0</w:t>
            </w:r>
          </w:p>
        </w:tc>
        <w:tc>
          <w:tcPr>
            <w:tcW w:w="668" w:type="pct"/>
          </w:tcPr>
          <w:p w14:paraId="5DF46194" w14:textId="200846FB" w:rsidR="008B76D1" w:rsidRPr="00916340" w:rsidRDefault="007E0BC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</w:t>
            </w:r>
            <w:r w:rsidR="000E09F8">
              <w:rPr>
                <w:rFonts w:asciiTheme="minorHAnsi" w:hAnsiTheme="minorHAnsi" w:cstheme="minorHAnsi"/>
                <w:sz w:val="20"/>
                <w:szCs w:val="22"/>
              </w:rPr>
              <w:t>6.0</w:t>
            </w:r>
          </w:p>
        </w:tc>
      </w:tr>
      <w:tr w:rsidR="008B76D1" w:rsidRPr="00916340" w14:paraId="2AE69659" w14:textId="77777777" w:rsidTr="008B76D1">
        <w:tc>
          <w:tcPr>
            <w:tcW w:w="1655" w:type="pct"/>
          </w:tcPr>
          <w:p w14:paraId="3C97FB20" w14:textId="77777777" w:rsidR="008B76D1" w:rsidRPr="00916340" w:rsidRDefault="008B76D1" w:rsidP="008B76D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 xml:space="preserve">Fiscal Balance </w:t>
            </w:r>
          </w:p>
          <w:p w14:paraId="2D89BC6A" w14:textId="77777777" w:rsidR="008B76D1" w:rsidRPr="00916340" w:rsidRDefault="008B76D1" w:rsidP="008B76D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($m)</w:t>
            </w:r>
          </w:p>
        </w:tc>
        <w:tc>
          <w:tcPr>
            <w:tcW w:w="669" w:type="pct"/>
          </w:tcPr>
          <w:p w14:paraId="180E0B6C" w14:textId="23DB53C9" w:rsidR="008B76D1" w:rsidRPr="00916340" w:rsidRDefault="000E09F8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669" w:type="pct"/>
          </w:tcPr>
          <w:p w14:paraId="6DD8EAB3" w14:textId="639E5206" w:rsidR="008B76D1" w:rsidRPr="00916340" w:rsidRDefault="007E0BC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</w:t>
            </w:r>
            <w:r w:rsidR="000E09F8">
              <w:rPr>
                <w:rFonts w:asciiTheme="minorHAnsi" w:hAnsiTheme="minorHAnsi" w:cstheme="minorHAnsi"/>
                <w:sz w:val="20"/>
                <w:szCs w:val="22"/>
              </w:rPr>
              <w:t>5.0</w:t>
            </w:r>
          </w:p>
        </w:tc>
        <w:tc>
          <w:tcPr>
            <w:tcW w:w="669" w:type="pct"/>
          </w:tcPr>
          <w:p w14:paraId="35B0C545" w14:textId="053229F3" w:rsidR="008B76D1" w:rsidRPr="00916340" w:rsidRDefault="007E0BC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</w:t>
            </w:r>
            <w:r w:rsidR="000E09F8">
              <w:rPr>
                <w:rFonts w:asciiTheme="minorHAnsi" w:hAnsiTheme="minorHAnsi" w:cstheme="minorHAnsi"/>
                <w:sz w:val="20"/>
                <w:szCs w:val="22"/>
              </w:rPr>
              <w:t>4.0</w:t>
            </w:r>
          </w:p>
        </w:tc>
        <w:tc>
          <w:tcPr>
            <w:tcW w:w="669" w:type="pct"/>
          </w:tcPr>
          <w:p w14:paraId="598CC5CD" w14:textId="4636F239" w:rsidR="008B76D1" w:rsidRPr="00916340" w:rsidRDefault="007E0BC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</w:t>
            </w:r>
            <w:r w:rsidR="000E09F8">
              <w:rPr>
                <w:rFonts w:asciiTheme="minorHAnsi" w:hAnsiTheme="minorHAnsi" w:cstheme="minorHAnsi"/>
                <w:sz w:val="20"/>
                <w:szCs w:val="22"/>
              </w:rPr>
              <w:t>6.0</w:t>
            </w:r>
          </w:p>
        </w:tc>
        <w:tc>
          <w:tcPr>
            <w:tcW w:w="668" w:type="pct"/>
          </w:tcPr>
          <w:p w14:paraId="088D2C3B" w14:textId="7F0B21B8" w:rsidR="008B76D1" w:rsidRPr="00916340" w:rsidRDefault="007E0BC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</w:t>
            </w:r>
            <w:r w:rsidR="000E09F8">
              <w:rPr>
                <w:rFonts w:asciiTheme="minorHAnsi" w:hAnsiTheme="minorHAnsi" w:cstheme="minorHAnsi"/>
                <w:sz w:val="20"/>
                <w:szCs w:val="22"/>
              </w:rPr>
              <w:t>6.0</w:t>
            </w:r>
          </w:p>
        </w:tc>
      </w:tr>
    </w:tbl>
    <w:p w14:paraId="0B877000" w14:textId="2EB1CDC3" w:rsidR="00F3085D" w:rsidRDefault="008033F6" w:rsidP="00916340">
      <w:pPr>
        <w:pStyle w:val="ChartandTableFootnoteAlpha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(b) </w:t>
      </w:r>
      <w:r w:rsidR="00BC7798" w:rsidRPr="00736211">
        <w:rPr>
          <w:rFonts w:asciiTheme="minorHAnsi" w:hAnsiTheme="minorHAnsi" w:cstheme="minorHAnsi"/>
          <w:sz w:val="18"/>
          <w:szCs w:val="22"/>
        </w:rPr>
        <w:t xml:space="preserve">A positive number for the fiscal balance indicates an increase in revenue or a decrease in expenses or net capital investment in accrual terms. A positive number for the </w:t>
      </w:r>
      <w:r w:rsidR="00976DDC" w:rsidRPr="00736211">
        <w:rPr>
          <w:rFonts w:asciiTheme="minorHAnsi" w:hAnsiTheme="minorHAnsi" w:cstheme="minorHAnsi"/>
          <w:sz w:val="18"/>
          <w:szCs w:val="22"/>
        </w:rPr>
        <w:t>UCB</w:t>
      </w:r>
      <w:r w:rsidR="00BC7798" w:rsidRPr="00736211">
        <w:rPr>
          <w:rFonts w:asciiTheme="minorHAnsi" w:hAnsiTheme="minorHAnsi" w:cstheme="minorHAnsi"/>
          <w:sz w:val="18"/>
          <w:szCs w:val="22"/>
        </w:rPr>
        <w:t xml:space="preserve"> </w:t>
      </w:r>
      <w:r w:rsidR="00BC7798" w:rsidRPr="008033F6">
        <w:rPr>
          <w:rFonts w:asciiTheme="minorHAnsi" w:hAnsiTheme="minorHAnsi" w:cstheme="minorHAnsi"/>
          <w:sz w:val="18"/>
        </w:rPr>
        <w:t>indicates</w:t>
      </w:r>
      <w:r w:rsidR="00BC7798" w:rsidRPr="00736211">
        <w:rPr>
          <w:rFonts w:asciiTheme="minorHAnsi" w:hAnsiTheme="minorHAnsi" w:cstheme="minorHAnsi"/>
          <w:sz w:val="18"/>
          <w:szCs w:val="22"/>
        </w:rPr>
        <w:t xml:space="preserve"> an increase in revenue or a decrease in expenses or net capital investment in cash terms.</w:t>
      </w:r>
    </w:p>
    <w:p w14:paraId="762F7C04" w14:textId="77777777" w:rsidR="00916340" w:rsidRPr="00916340" w:rsidRDefault="00916340" w:rsidP="00916340">
      <w:pPr>
        <w:spacing w:after="0" w:line="240" w:lineRule="auto"/>
      </w:pPr>
    </w:p>
    <w:tbl>
      <w:tblPr>
        <w:tblStyle w:val="TableGrid"/>
        <w:tblW w:w="5000" w:type="pct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02"/>
      </w:tblGrid>
      <w:tr w:rsidR="005E1308" w:rsidRPr="00976DDC" w14:paraId="7AFF7504" w14:textId="77777777" w:rsidTr="008033F6">
        <w:tc>
          <w:tcPr>
            <w:tcW w:w="5000" w:type="pct"/>
          </w:tcPr>
          <w:p w14:paraId="65E05FCD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state that the proposal has been costed as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defined or specified amount.</w:t>
            </w:r>
          </w:p>
          <w:p w14:paraId="6BC83754" w14:textId="26F81F41" w:rsidR="005E1308" w:rsidRPr="00976DDC" w:rsidRDefault="0083793D" w:rsidP="00C216E6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proposal has been costed as a sp</w:t>
            </w:r>
            <w:r w:rsidR="00C216E6">
              <w:rPr>
                <w:rFonts w:asciiTheme="minorHAnsi" w:hAnsiTheme="minorHAnsi" w:cstheme="minorHAnsi"/>
                <w:sz w:val="22"/>
                <w:szCs w:val="22"/>
              </w:rPr>
              <w:t>ecified amount.</w:t>
            </w:r>
          </w:p>
        </w:tc>
      </w:tr>
      <w:tr w:rsidR="005E1308" w:rsidRPr="00976DDC" w14:paraId="3281B668" w14:textId="77777777" w:rsidTr="008033F6">
        <w:tc>
          <w:tcPr>
            <w:tcW w:w="5000" w:type="pct"/>
          </w:tcPr>
          <w:p w14:paraId="3539230C" w14:textId="3243B370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Where relevant, include separate identification of revenue and expense components. </w:t>
            </w:r>
          </w:p>
          <w:p w14:paraId="6C02624B" w14:textId="18AC92E5" w:rsidR="005E1308" w:rsidRPr="00976DDC" w:rsidRDefault="00B30860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  <w:r w:rsidR="007E0B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68E7F335" w14:textId="77777777" w:rsidTr="008033F6">
        <w:tc>
          <w:tcPr>
            <w:tcW w:w="5000" w:type="pct"/>
          </w:tcPr>
          <w:p w14:paraId="353F81A2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appropriate, include a range for the costing or sensitivity analysis.</w:t>
            </w:r>
          </w:p>
          <w:p w14:paraId="605CF320" w14:textId="73D9A1CE" w:rsidR="005E1308" w:rsidRPr="00976DDC" w:rsidRDefault="00B30860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  <w:r w:rsidR="007E0B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365B042D" w14:textId="77777777" w:rsidTr="008033F6">
        <w:tc>
          <w:tcPr>
            <w:tcW w:w="5000" w:type="pct"/>
          </w:tcPr>
          <w:p w14:paraId="256A1744" w14:textId="7940B135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to the costing (including reasons for the costing not being comprehensive).</w:t>
            </w:r>
          </w:p>
          <w:p w14:paraId="720B4B77" w14:textId="74EEA77E" w:rsidR="005E1308" w:rsidRPr="00976DDC" w:rsidRDefault="00B30860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  <w:r w:rsidR="007E0B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2A45318D" w14:textId="77777777" w:rsidTr="008033F6">
        <w:tc>
          <w:tcPr>
            <w:tcW w:w="5000" w:type="pct"/>
          </w:tcPr>
          <w:p w14:paraId="5CBBF435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effects of departmental expenses.</w:t>
            </w:r>
          </w:p>
          <w:p w14:paraId="3194887F" w14:textId="11FFBAED" w:rsidR="005E1308" w:rsidRPr="00976DDC" w:rsidRDefault="00534367" w:rsidP="00BC1F54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665F926C">
              <w:rPr>
                <w:rFonts w:asciiTheme="minorHAnsi" w:hAnsiTheme="minorHAnsi"/>
                <w:sz w:val="22"/>
                <w:szCs w:val="22"/>
              </w:rPr>
              <w:t xml:space="preserve">As specified in the costing request, the Department of </w:t>
            </w:r>
            <w:r>
              <w:rPr>
                <w:rFonts w:asciiTheme="minorHAnsi" w:hAnsiTheme="minorHAnsi"/>
                <w:sz w:val="22"/>
                <w:szCs w:val="22"/>
              </w:rPr>
              <w:t>Industry, Science, Energy and Resources and Austrade</w:t>
            </w:r>
            <w:r w:rsidRPr="665F926C">
              <w:rPr>
                <w:rFonts w:asciiTheme="minorHAnsi" w:hAnsiTheme="minorHAnsi"/>
                <w:sz w:val="22"/>
                <w:szCs w:val="22"/>
              </w:rPr>
              <w:t xml:space="preserve"> would absorb </w:t>
            </w:r>
            <w:r w:rsidR="00BC1F54">
              <w:rPr>
                <w:rFonts w:asciiTheme="minorHAnsi" w:hAnsiTheme="minorHAnsi"/>
                <w:sz w:val="22"/>
                <w:szCs w:val="22"/>
              </w:rPr>
              <w:t xml:space="preserve">any </w:t>
            </w:r>
            <w:r w:rsidRPr="665F926C">
              <w:rPr>
                <w:rFonts w:asciiTheme="minorHAnsi" w:hAnsiTheme="minorHAnsi"/>
                <w:sz w:val="22"/>
                <w:szCs w:val="22"/>
              </w:rPr>
              <w:t>associated departmental costs.</w:t>
            </w:r>
          </w:p>
        </w:tc>
      </w:tr>
      <w:tr w:rsidR="005E1308" w:rsidRPr="00976DDC" w14:paraId="4932DB62" w14:textId="77777777" w:rsidTr="008033F6">
        <w:tc>
          <w:tcPr>
            <w:tcW w:w="5000" w:type="pct"/>
          </w:tcPr>
          <w:p w14:paraId="3B8AB7A7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the reason for any significant differences between the assumptions specified in a party costing request and those used in a Treasury or Finance costing.</w:t>
            </w:r>
          </w:p>
          <w:p w14:paraId="53B45BCE" w14:textId="177AC44E" w:rsidR="005E1308" w:rsidRPr="00976DDC" w:rsidRDefault="00B564A0" w:rsidP="00B564A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applicable. </w:t>
            </w:r>
          </w:p>
        </w:tc>
      </w:tr>
      <w:tr w:rsidR="005E1308" w:rsidRPr="00CF74D5" w14:paraId="0D7E01A9" w14:textId="77777777" w:rsidTr="008033F6">
        <w:tc>
          <w:tcPr>
            <w:tcW w:w="5000" w:type="pct"/>
          </w:tcPr>
          <w:p w14:paraId="3F170782" w14:textId="59E65FE6" w:rsidR="002215AB" w:rsidRPr="00CF74D5" w:rsidRDefault="005E1308" w:rsidP="009B10F2">
            <w:pPr>
              <w:spacing w:before="180" w:after="120" w:line="240" w:lineRule="auto"/>
              <w:rPr>
                <w:rStyle w:val="TextItalicised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CF74D5">
              <w:rPr>
                <w:rStyle w:val="TextChar"/>
                <w:rFonts w:asciiTheme="minorHAnsi" w:hAnsiTheme="minorHAnsi" w:cstheme="minorHAnsi"/>
                <w:b/>
                <w:sz w:val="22"/>
                <w:szCs w:val="22"/>
              </w:rPr>
              <w:t>Other comments</w:t>
            </w:r>
            <w:r w:rsidRPr="00CF74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74D5">
              <w:rPr>
                <w:rStyle w:val="TextItalicisedChar"/>
                <w:rFonts w:asciiTheme="minorHAnsi" w:hAnsiTheme="minorHAnsi" w:cstheme="minorHAnsi"/>
                <w:b/>
                <w:sz w:val="22"/>
                <w:szCs w:val="22"/>
              </w:rPr>
              <w:t>(including reasons for significant differences between the estimated impact on the fiscal and underlying cash balances).</w:t>
            </w:r>
          </w:p>
          <w:p w14:paraId="2471234E" w14:textId="0976E782" w:rsidR="0065294B" w:rsidRPr="00CF74D5" w:rsidRDefault="000538B3" w:rsidP="009B10F2">
            <w:pPr>
              <w:spacing w:before="18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74D5">
              <w:rPr>
                <w:rFonts w:asciiTheme="minorHAnsi" w:hAnsiTheme="minorHAnsi" w:cstheme="minorHAnsi"/>
                <w:sz w:val="22"/>
                <w:szCs w:val="22"/>
              </w:rPr>
              <w:t>Not applicable.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86"/>
            </w:tblGrid>
            <w:tr w:rsidR="002215AB" w:rsidRPr="00CF74D5" w14:paraId="247D300F" w14:textId="77777777" w:rsidTr="008B76D1">
              <w:tc>
                <w:tcPr>
                  <w:tcW w:w="5000" w:type="pct"/>
                </w:tcPr>
                <w:p w14:paraId="7187D5F3" w14:textId="0C7EC213" w:rsidR="002215AB" w:rsidRPr="00CF74D5" w:rsidRDefault="002215AB" w:rsidP="00976DDC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F74D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Where relevant, inclu</w:t>
                  </w:r>
                  <w:r w:rsidR="009B10F2" w:rsidRPr="00CF74D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an explanation of the medium-</w:t>
                  </w:r>
                  <w:r w:rsidRPr="00CF74D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term implications of the proposal</w:t>
                  </w:r>
                  <w:r w:rsidR="00C3260F" w:rsidRPr="00CF74D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  <w:r w:rsidRPr="00CF74D5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(c)</w:t>
                  </w:r>
                  <w:r w:rsidR="009B10F2" w:rsidRPr="00CF74D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327AF50" w14:textId="7761BEB2" w:rsidR="00674C3B" w:rsidRPr="00CF74D5" w:rsidRDefault="00B564A0" w:rsidP="00B564A0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4D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Not applicable. </w:t>
                  </w:r>
                  <w:r w:rsidR="009B10F2" w:rsidRPr="00CF74D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1A9786E" w14:textId="77777777" w:rsidR="005E1308" w:rsidRPr="00CF74D5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88CB1D" w14:textId="347F0939" w:rsidR="0083793D" w:rsidRPr="00CF74D5" w:rsidRDefault="008033F6" w:rsidP="008033F6">
      <w:pPr>
        <w:pStyle w:val="ChartandTableFootnoteAlpha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</w:rPr>
      </w:pPr>
      <w:r w:rsidRPr="00CF74D5">
        <w:rPr>
          <w:rFonts w:asciiTheme="minorHAnsi" w:hAnsiTheme="minorHAnsi" w:cstheme="minorHAnsi"/>
          <w:sz w:val="18"/>
        </w:rPr>
        <w:t xml:space="preserve">(c) </w:t>
      </w:r>
      <w:r w:rsidR="002215AB" w:rsidRPr="00CF74D5">
        <w:rPr>
          <w:rFonts w:asciiTheme="minorHAnsi" w:hAnsiTheme="minorHAnsi" w:cstheme="minorHAnsi"/>
          <w:sz w:val="18"/>
        </w:rPr>
        <w:t>I</w:t>
      </w:r>
      <w:r w:rsidR="00993E99" w:rsidRPr="00CF74D5">
        <w:rPr>
          <w:rFonts w:asciiTheme="minorHAnsi" w:hAnsiTheme="minorHAnsi" w:cstheme="minorHAnsi"/>
          <w:sz w:val="18"/>
        </w:rPr>
        <w:t xml:space="preserve">nformation on the medium term </w:t>
      </w:r>
      <w:r w:rsidR="002215AB" w:rsidRPr="00CF74D5">
        <w:rPr>
          <w:rFonts w:asciiTheme="minorHAnsi" w:hAnsiTheme="minorHAnsi" w:cstheme="minorHAnsi"/>
          <w:sz w:val="18"/>
        </w:rPr>
        <w:t xml:space="preserve">implications </w:t>
      </w:r>
      <w:r w:rsidR="00993E99" w:rsidRPr="00CF74D5">
        <w:rPr>
          <w:rFonts w:asciiTheme="minorHAnsi" w:hAnsiTheme="minorHAnsi" w:cstheme="minorHAnsi"/>
          <w:sz w:val="18"/>
        </w:rPr>
        <w:t xml:space="preserve">will be provided </w:t>
      </w:r>
      <w:r w:rsidR="009A3939" w:rsidRPr="00CF74D5">
        <w:rPr>
          <w:rFonts w:asciiTheme="minorHAnsi" w:hAnsiTheme="minorHAnsi" w:cstheme="minorHAnsi"/>
          <w:sz w:val="18"/>
        </w:rPr>
        <w:t xml:space="preserve">if the </w:t>
      </w:r>
      <w:r w:rsidR="00CD3EF8" w:rsidRPr="00CF74D5">
        <w:rPr>
          <w:rFonts w:asciiTheme="minorHAnsi" w:hAnsiTheme="minorHAnsi" w:cstheme="minorHAnsi"/>
          <w:sz w:val="18"/>
        </w:rPr>
        <w:t>cost of the policy is expected to be significantly different beyond the forward estimates period</w:t>
      </w:r>
      <w:r w:rsidR="00D00EA0" w:rsidRPr="00CF74D5">
        <w:rPr>
          <w:rFonts w:asciiTheme="minorHAnsi" w:hAnsiTheme="minorHAnsi" w:cstheme="minorHAnsi"/>
          <w:sz w:val="18"/>
        </w:rPr>
        <w:t>. The medium term is considered to be the 7 years after the current forward estimates</w:t>
      </w:r>
      <w:r w:rsidR="004C18E1" w:rsidRPr="00CF74D5">
        <w:rPr>
          <w:rFonts w:asciiTheme="minorHAnsi" w:hAnsiTheme="minorHAnsi" w:cstheme="minorHAnsi"/>
          <w:sz w:val="18"/>
        </w:rPr>
        <w:t>.</w:t>
      </w:r>
    </w:p>
    <w:p w14:paraId="0891A2F5" w14:textId="77777777" w:rsidR="0083793D" w:rsidRPr="00CF74D5" w:rsidRDefault="0083793D" w:rsidP="00CF74D5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83793D" w:rsidRPr="00CF74D5" w14:paraId="00616310" w14:textId="77777777" w:rsidTr="004A4EFB">
        <w:tc>
          <w:tcPr>
            <w:tcW w:w="5000" w:type="pct"/>
            <w:tcBorders>
              <w:bottom w:val="dotted" w:sz="4" w:space="0" w:color="7F7F7F" w:themeColor="text1" w:themeTint="80"/>
            </w:tcBorders>
            <w:shd w:val="pct10" w:color="auto" w:fill="auto"/>
          </w:tcPr>
          <w:p w14:paraId="15F202C8" w14:textId="77777777" w:rsidR="0083793D" w:rsidRPr="00CF74D5" w:rsidRDefault="0083793D" w:rsidP="004A4EFB">
            <w:pPr>
              <w:pStyle w:val="Headings"/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F74D5">
              <w:rPr>
                <w:rFonts w:asciiTheme="minorHAnsi" w:hAnsiTheme="minorHAnsi" w:cstheme="minorHAnsi"/>
                <w:sz w:val="22"/>
                <w:szCs w:val="22"/>
              </w:rPr>
              <w:t>Background information</w:t>
            </w:r>
          </w:p>
        </w:tc>
      </w:tr>
      <w:tr w:rsidR="0083793D" w:rsidRPr="00CF74D5" w14:paraId="52A3C171" w14:textId="77777777" w:rsidTr="004A4EFB">
        <w:tc>
          <w:tcPr>
            <w:tcW w:w="5000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29AA83B9" w14:textId="6A3B83D8" w:rsidR="006D1BB1" w:rsidRDefault="006D1BB1" w:rsidP="006D1BB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methodology used:</w:t>
            </w:r>
          </w:p>
          <w:p w14:paraId="083DDD40" w14:textId="0F07E2E9" w:rsidR="006D1BB1" w:rsidRPr="00976DDC" w:rsidRDefault="006D1BB1" w:rsidP="006D1BB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9A82FF" w14:textId="77777777" w:rsidR="006D1BB1" w:rsidRPr="00976DDC" w:rsidRDefault="006D1BB1" w:rsidP="006D1BB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Behavioural assumptions used (as appropriate)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F1C1022" w14:textId="2B1C4F28" w:rsidR="0083793D" w:rsidRPr="00CF74D5" w:rsidRDefault="006D1BB1" w:rsidP="006D1BB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2FCD21E" w14:textId="77777777" w:rsidR="000C3665" w:rsidRPr="009B10F2" w:rsidRDefault="000C3665">
      <w:pPr>
        <w:rPr>
          <w:sz w:val="2"/>
        </w:rPr>
      </w:pPr>
    </w:p>
    <w:sectPr w:rsidR="000C3665" w:rsidRPr="009B10F2" w:rsidSect="008033F6">
      <w:footerReference w:type="default" r:id="rId13"/>
      <w:footerReference w:type="first" r:id="rId14"/>
      <w:pgSz w:w="11906" w:h="16838" w:code="9"/>
      <w:pgMar w:top="1021" w:right="1247" w:bottom="1021" w:left="1247" w:header="189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CC5E8" w14:textId="77777777" w:rsidR="00E22C2D" w:rsidRDefault="00E22C2D" w:rsidP="0035369B">
      <w:pPr>
        <w:spacing w:after="0" w:line="240" w:lineRule="auto"/>
      </w:pPr>
      <w:r>
        <w:separator/>
      </w:r>
    </w:p>
  </w:endnote>
  <w:endnote w:type="continuationSeparator" w:id="0">
    <w:p w14:paraId="243911CF" w14:textId="77777777" w:rsidR="00E22C2D" w:rsidRDefault="00E22C2D" w:rsidP="0035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152A4" w14:textId="4DAA1C60" w:rsidR="00B41CA8" w:rsidRPr="00916340" w:rsidRDefault="00B41CA8" w:rsidP="008033F6">
    <w:pPr>
      <w:pStyle w:val="Footer"/>
      <w:rPr>
        <w:rFonts w:asciiTheme="minorHAnsi" w:hAnsiTheme="minorHAnsi" w:cstheme="minorHAnsi"/>
        <w:sz w:val="22"/>
      </w:rPr>
    </w:pPr>
    <w:r w:rsidRPr="00916340">
      <w:rPr>
        <w:rFonts w:asciiTheme="minorHAnsi" w:hAnsiTheme="minorHAnsi" w:cstheme="minorHAnsi"/>
        <w:sz w:val="22"/>
      </w:rPr>
      <w:fldChar w:fldCharType="begin"/>
    </w:r>
    <w:r w:rsidRPr="00916340">
      <w:rPr>
        <w:rFonts w:asciiTheme="minorHAnsi" w:hAnsiTheme="minorHAnsi" w:cstheme="minorHAnsi"/>
        <w:sz w:val="22"/>
      </w:rPr>
      <w:instrText xml:space="preserve"> PAGE   \* MERGEFORMAT </w:instrText>
    </w:r>
    <w:r w:rsidRPr="00916340">
      <w:rPr>
        <w:rFonts w:asciiTheme="minorHAnsi" w:hAnsiTheme="minorHAnsi" w:cstheme="minorHAnsi"/>
        <w:sz w:val="22"/>
      </w:rPr>
      <w:fldChar w:fldCharType="separate"/>
    </w:r>
    <w:r w:rsidR="00DB7C84">
      <w:rPr>
        <w:rFonts w:asciiTheme="minorHAnsi" w:hAnsiTheme="minorHAnsi" w:cstheme="minorHAnsi"/>
        <w:noProof/>
        <w:sz w:val="22"/>
      </w:rPr>
      <w:t>2</w:t>
    </w:r>
    <w:r w:rsidRPr="00916340">
      <w:rPr>
        <w:rFonts w:asciiTheme="minorHAnsi" w:hAnsiTheme="minorHAnsi" w:cstheme="minorHAnsi"/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0945" w14:textId="77777777" w:rsidR="00B41CA8" w:rsidRDefault="00B41CA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6559A9E" w14:textId="77777777" w:rsidR="00B41CA8" w:rsidRDefault="00B4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18CE" w14:textId="77777777" w:rsidR="00E22C2D" w:rsidRDefault="00E22C2D" w:rsidP="0035369B">
      <w:pPr>
        <w:spacing w:after="0" w:line="240" w:lineRule="auto"/>
      </w:pPr>
      <w:r>
        <w:separator/>
      </w:r>
    </w:p>
  </w:footnote>
  <w:footnote w:type="continuationSeparator" w:id="0">
    <w:p w14:paraId="1C12CDD2" w14:textId="77777777" w:rsidR="00E22C2D" w:rsidRDefault="00E22C2D" w:rsidP="00353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A7322"/>
    <w:multiLevelType w:val="multilevel"/>
    <w:tmpl w:val="45E4B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3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4" w15:restartNumberingAfterBreak="0">
    <w:nsid w:val="141471C3"/>
    <w:multiLevelType w:val="hybridMultilevel"/>
    <w:tmpl w:val="B4407124"/>
    <w:lvl w:ilvl="0" w:tplc="357078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340646"/>
    <w:multiLevelType w:val="multilevel"/>
    <w:tmpl w:val="B1F8E7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2E19AC"/>
    <w:multiLevelType w:val="singleLevel"/>
    <w:tmpl w:val="9140D190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23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6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1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31"/>
  </w:num>
  <w:num w:numId="5">
    <w:abstractNumId w:val="25"/>
  </w:num>
  <w:num w:numId="6">
    <w:abstractNumId w:val="3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12"/>
  </w:num>
  <w:num w:numId="21">
    <w:abstractNumId w:val="19"/>
  </w:num>
  <w:num w:numId="22">
    <w:abstractNumId w:val="28"/>
  </w:num>
  <w:num w:numId="23">
    <w:abstractNumId w:val="20"/>
  </w:num>
  <w:num w:numId="24">
    <w:abstractNumId w:val="33"/>
  </w:num>
  <w:num w:numId="25">
    <w:abstractNumId w:val="16"/>
  </w:num>
  <w:num w:numId="26">
    <w:abstractNumId w:val="18"/>
  </w:num>
  <w:num w:numId="27">
    <w:abstractNumId w:val="24"/>
  </w:num>
  <w:num w:numId="28">
    <w:abstractNumId w:val="29"/>
  </w:num>
  <w:num w:numId="29">
    <w:abstractNumId w:val="32"/>
  </w:num>
  <w:num w:numId="30">
    <w:abstractNumId w:val="12"/>
  </w:num>
  <w:num w:numId="31">
    <w:abstractNumId w:val="17"/>
  </w:num>
  <w:num w:numId="32">
    <w:abstractNumId w:val="26"/>
  </w:num>
  <w:num w:numId="33">
    <w:abstractNumId w:val="21"/>
  </w:num>
  <w:num w:numId="34">
    <w:abstractNumId w:val="10"/>
  </w:num>
  <w:num w:numId="35">
    <w:abstractNumId w:val="23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14"/>
  </w:num>
  <w:num w:numId="41">
    <w:abstractNumId w:val="1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True"/>
  </w:docVars>
  <w:rsids>
    <w:rsidRoot w:val="000F5785"/>
    <w:rsid w:val="000004FF"/>
    <w:rsid w:val="00000774"/>
    <w:rsid w:val="00001046"/>
    <w:rsid w:val="00001EAE"/>
    <w:rsid w:val="00003157"/>
    <w:rsid w:val="0000388D"/>
    <w:rsid w:val="00003C23"/>
    <w:rsid w:val="0000498F"/>
    <w:rsid w:val="00004D4E"/>
    <w:rsid w:val="000057A6"/>
    <w:rsid w:val="000109CE"/>
    <w:rsid w:val="00012821"/>
    <w:rsid w:val="00014B80"/>
    <w:rsid w:val="00017337"/>
    <w:rsid w:val="00020548"/>
    <w:rsid w:val="00021A2B"/>
    <w:rsid w:val="0002274E"/>
    <w:rsid w:val="00023E07"/>
    <w:rsid w:val="00023FFB"/>
    <w:rsid w:val="000245ED"/>
    <w:rsid w:val="000260A4"/>
    <w:rsid w:val="0002678F"/>
    <w:rsid w:val="00031226"/>
    <w:rsid w:val="000328B6"/>
    <w:rsid w:val="000331F6"/>
    <w:rsid w:val="000337CC"/>
    <w:rsid w:val="00036EF9"/>
    <w:rsid w:val="00041B95"/>
    <w:rsid w:val="00042230"/>
    <w:rsid w:val="00044640"/>
    <w:rsid w:val="0004697C"/>
    <w:rsid w:val="000469CA"/>
    <w:rsid w:val="00050000"/>
    <w:rsid w:val="00050F3F"/>
    <w:rsid w:val="000514F8"/>
    <w:rsid w:val="00052419"/>
    <w:rsid w:val="000538B3"/>
    <w:rsid w:val="00053A5A"/>
    <w:rsid w:val="00054029"/>
    <w:rsid w:val="00054C01"/>
    <w:rsid w:val="00056167"/>
    <w:rsid w:val="00057750"/>
    <w:rsid w:val="00060646"/>
    <w:rsid w:val="00062100"/>
    <w:rsid w:val="00062E44"/>
    <w:rsid w:val="00064067"/>
    <w:rsid w:val="00073AD0"/>
    <w:rsid w:val="00074D4E"/>
    <w:rsid w:val="00076C73"/>
    <w:rsid w:val="00077B82"/>
    <w:rsid w:val="000825D2"/>
    <w:rsid w:val="00083077"/>
    <w:rsid w:val="00084091"/>
    <w:rsid w:val="0008503F"/>
    <w:rsid w:val="000856CB"/>
    <w:rsid w:val="00085761"/>
    <w:rsid w:val="0009338B"/>
    <w:rsid w:val="00094854"/>
    <w:rsid w:val="000961A2"/>
    <w:rsid w:val="00097846"/>
    <w:rsid w:val="000A37E2"/>
    <w:rsid w:val="000A5A25"/>
    <w:rsid w:val="000B224B"/>
    <w:rsid w:val="000B6334"/>
    <w:rsid w:val="000B7347"/>
    <w:rsid w:val="000C0C5E"/>
    <w:rsid w:val="000C3665"/>
    <w:rsid w:val="000C68E0"/>
    <w:rsid w:val="000D02B6"/>
    <w:rsid w:val="000D294C"/>
    <w:rsid w:val="000D3155"/>
    <w:rsid w:val="000D32DE"/>
    <w:rsid w:val="000D3FC7"/>
    <w:rsid w:val="000D5052"/>
    <w:rsid w:val="000D5C3B"/>
    <w:rsid w:val="000D5FF6"/>
    <w:rsid w:val="000E094B"/>
    <w:rsid w:val="000E09F8"/>
    <w:rsid w:val="000E0E79"/>
    <w:rsid w:val="000E1061"/>
    <w:rsid w:val="000E157A"/>
    <w:rsid w:val="000E2106"/>
    <w:rsid w:val="000E2CEF"/>
    <w:rsid w:val="000E2ECA"/>
    <w:rsid w:val="000E3723"/>
    <w:rsid w:val="000E3AE1"/>
    <w:rsid w:val="000E4131"/>
    <w:rsid w:val="000E4AEC"/>
    <w:rsid w:val="000E7788"/>
    <w:rsid w:val="000F0113"/>
    <w:rsid w:val="000F4DC9"/>
    <w:rsid w:val="000F5785"/>
    <w:rsid w:val="000F712E"/>
    <w:rsid w:val="00100394"/>
    <w:rsid w:val="001017C7"/>
    <w:rsid w:val="0010364E"/>
    <w:rsid w:val="001037A5"/>
    <w:rsid w:val="0010467C"/>
    <w:rsid w:val="001046EE"/>
    <w:rsid w:val="0010499D"/>
    <w:rsid w:val="00105AFC"/>
    <w:rsid w:val="001063A9"/>
    <w:rsid w:val="00113313"/>
    <w:rsid w:val="00115E2A"/>
    <w:rsid w:val="0011634C"/>
    <w:rsid w:val="00116DF9"/>
    <w:rsid w:val="00120EF6"/>
    <w:rsid w:val="00121CE2"/>
    <w:rsid w:val="00121E5A"/>
    <w:rsid w:val="0012256C"/>
    <w:rsid w:val="001226C1"/>
    <w:rsid w:val="00122E87"/>
    <w:rsid w:val="00123486"/>
    <w:rsid w:val="00123BA3"/>
    <w:rsid w:val="00123E40"/>
    <w:rsid w:val="00124032"/>
    <w:rsid w:val="00125991"/>
    <w:rsid w:val="00125EA2"/>
    <w:rsid w:val="00130C45"/>
    <w:rsid w:val="0013191E"/>
    <w:rsid w:val="00132A82"/>
    <w:rsid w:val="00132F61"/>
    <w:rsid w:val="0013330B"/>
    <w:rsid w:val="00133474"/>
    <w:rsid w:val="00134152"/>
    <w:rsid w:val="001345A9"/>
    <w:rsid w:val="00134D1E"/>
    <w:rsid w:val="00135B3E"/>
    <w:rsid w:val="00136498"/>
    <w:rsid w:val="00136655"/>
    <w:rsid w:val="0013683C"/>
    <w:rsid w:val="00141D1D"/>
    <w:rsid w:val="001427B2"/>
    <w:rsid w:val="001436D3"/>
    <w:rsid w:val="00143BB8"/>
    <w:rsid w:val="00150982"/>
    <w:rsid w:val="00150EA9"/>
    <w:rsid w:val="0015121E"/>
    <w:rsid w:val="00151BFE"/>
    <w:rsid w:val="00154E5E"/>
    <w:rsid w:val="0016146A"/>
    <w:rsid w:val="00161682"/>
    <w:rsid w:val="001634BD"/>
    <w:rsid w:val="00165B97"/>
    <w:rsid w:val="001664AD"/>
    <w:rsid w:val="0017027F"/>
    <w:rsid w:val="0017152C"/>
    <w:rsid w:val="0017505B"/>
    <w:rsid w:val="00175BC9"/>
    <w:rsid w:val="0018070E"/>
    <w:rsid w:val="00181691"/>
    <w:rsid w:val="00181917"/>
    <w:rsid w:val="0018309A"/>
    <w:rsid w:val="001861B0"/>
    <w:rsid w:val="001908EA"/>
    <w:rsid w:val="00191C95"/>
    <w:rsid w:val="0019224F"/>
    <w:rsid w:val="00193254"/>
    <w:rsid w:val="00193F80"/>
    <w:rsid w:val="00194DED"/>
    <w:rsid w:val="0019602D"/>
    <w:rsid w:val="00196032"/>
    <w:rsid w:val="0019651C"/>
    <w:rsid w:val="00197078"/>
    <w:rsid w:val="00197C49"/>
    <w:rsid w:val="001A18A2"/>
    <w:rsid w:val="001A1FE4"/>
    <w:rsid w:val="001A320E"/>
    <w:rsid w:val="001A3690"/>
    <w:rsid w:val="001A37D5"/>
    <w:rsid w:val="001A3E8C"/>
    <w:rsid w:val="001A4E2D"/>
    <w:rsid w:val="001A5C7D"/>
    <w:rsid w:val="001A64D6"/>
    <w:rsid w:val="001A6971"/>
    <w:rsid w:val="001A74B2"/>
    <w:rsid w:val="001B14FD"/>
    <w:rsid w:val="001B23C1"/>
    <w:rsid w:val="001B2FAF"/>
    <w:rsid w:val="001B3229"/>
    <w:rsid w:val="001B43EA"/>
    <w:rsid w:val="001B726A"/>
    <w:rsid w:val="001C00C7"/>
    <w:rsid w:val="001C0203"/>
    <w:rsid w:val="001C0302"/>
    <w:rsid w:val="001C14C1"/>
    <w:rsid w:val="001C2738"/>
    <w:rsid w:val="001C7C99"/>
    <w:rsid w:val="001C7DDD"/>
    <w:rsid w:val="001D0AB8"/>
    <w:rsid w:val="001D29B9"/>
    <w:rsid w:val="001D3452"/>
    <w:rsid w:val="001D4124"/>
    <w:rsid w:val="001D658B"/>
    <w:rsid w:val="001E08B0"/>
    <w:rsid w:val="001E18E0"/>
    <w:rsid w:val="001E1A23"/>
    <w:rsid w:val="001E20DF"/>
    <w:rsid w:val="001E257E"/>
    <w:rsid w:val="001E4420"/>
    <w:rsid w:val="001E461F"/>
    <w:rsid w:val="001E5318"/>
    <w:rsid w:val="001F0A7C"/>
    <w:rsid w:val="001F12FF"/>
    <w:rsid w:val="001F190D"/>
    <w:rsid w:val="001F58A2"/>
    <w:rsid w:val="001F7C63"/>
    <w:rsid w:val="002010C8"/>
    <w:rsid w:val="00202F37"/>
    <w:rsid w:val="00203C8E"/>
    <w:rsid w:val="00205BE1"/>
    <w:rsid w:val="00206741"/>
    <w:rsid w:val="002071D5"/>
    <w:rsid w:val="002078DB"/>
    <w:rsid w:val="0021045C"/>
    <w:rsid w:val="00211C7F"/>
    <w:rsid w:val="00212BCB"/>
    <w:rsid w:val="00212FE1"/>
    <w:rsid w:val="00213894"/>
    <w:rsid w:val="00213C99"/>
    <w:rsid w:val="002175E1"/>
    <w:rsid w:val="0022134E"/>
    <w:rsid w:val="002215AB"/>
    <w:rsid w:val="00221E68"/>
    <w:rsid w:val="002240F3"/>
    <w:rsid w:val="002246F7"/>
    <w:rsid w:val="00225E57"/>
    <w:rsid w:val="002263B3"/>
    <w:rsid w:val="00227CC7"/>
    <w:rsid w:val="00231CD2"/>
    <w:rsid w:val="002332A4"/>
    <w:rsid w:val="0023517B"/>
    <w:rsid w:val="0024075D"/>
    <w:rsid w:val="002439A4"/>
    <w:rsid w:val="00243BE0"/>
    <w:rsid w:val="002446A2"/>
    <w:rsid w:val="00246E12"/>
    <w:rsid w:val="0024790A"/>
    <w:rsid w:val="0025157D"/>
    <w:rsid w:val="00254B9E"/>
    <w:rsid w:val="00257966"/>
    <w:rsid w:val="00260D3C"/>
    <w:rsid w:val="00263F45"/>
    <w:rsid w:val="00264CE5"/>
    <w:rsid w:val="00265003"/>
    <w:rsid w:val="00270F81"/>
    <w:rsid w:val="002710E3"/>
    <w:rsid w:val="00271340"/>
    <w:rsid w:val="0027156A"/>
    <w:rsid w:val="002723D9"/>
    <w:rsid w:val="002747D5"/>
    <w:rsid w:val="00275DC7"/>
    <w:rsid w:val="00277DC3"/>
    <w:rsid w:val="002802D9"/>
    <w:rsid w:val="00280A10"/>
    <w:rsid w:val="002811C1"/>
    <w:rsid w:val="0028135B"/>
    <w:rsid w:val="0028250B"/>
    <w:rsid w:val="00282F95"/>
    <w:rsid w:val="00283075"/>
    <w:rsid w:val="0028439B"/>
    <w:rsid w:val="002869CE"/>
    <w:rsid w:val="0028716F"/>
    <w:rsid w:val="002877F4"/>
    <w:rsid w:val="00293447"/>
    <w:rsid w:val="002952EC"/>
    <w:rsid w:val="00295976"/>
    <w:rsid w:val="002A1228"/>
    <w:rsid w:val="002A39A6"/>
    <w:rsid w:val="002A6B7C"/>
    <w:rsid w:val="002A7289"/>
    <w:rsid w:val="002B1962"/>
    <w:rsid w:val="002B1A1C"/>
    <w:rsid w:val="002B2F96"/>
    <w:rsid w:val="002B3976"/>
    <w:rsid w:val="002B4597"/>
    <w:rsid w:val="002B64BA"/>
    <w:rsid w:val="002B6528"/>
    <w:rsid w:val="002B6725"/>
    <w:rsid w:val="002C08FD"/>
    <w:rsid w:val="002C21C5"/>
    <w:rsid w:val="002C256A"/>
    <w:rsid w:val="002C3EFC"/>
    <w:rsid w:val="002C7320"/>
    <w:rsid w:val="002D0B3E"/>
    <w:rsid w:val="002D0E17"/>
    <w:rsid w:val="002D5154"/>
    <w:rsid w:val="002D69F9"/>
    <w:rsid w:val="002E0546"/>
    <w:rsid w:val="002E415D"/>
    <w:rsid w:val="002E56E8"/>
    <w:rsid w:val="002E575F"/>
    <w:rsid w:val="002E6E25"/>
    <w:rsid w:val="002E79FF"/>
    <w:rsid w:val="002F11EC"/>
    <w:rsid w:val="002F273D"/>
    <w:rsid w:val="002F34D5"/>
    <w:rsid w:val="002F6552"/>
    <w:rsid w:val="002F6A1D"/>
    <w:rsid w:val="0030362C"/>
    <w:rsid w:val="00303681"/>
    <w:rsid w:val="00304023"/>
    <w:rsid w:val="0030460D"/>
    <w:rsid w:val="00305F81"/>
    <w:rsid w:val="00306378"/>
    <w:rsid w:val="003065D0"/>
    <w:rsid w:val="00306840"/>
    <w:rsid w:val="0031071A"/>
    <w:rsid w:val="00313B84"/>
    <w:rsid w:val="003161C7"/>
    <w:rsid w:val="0031641B"/>
    <w:rsid w:val="003164D2"/>
    <w:rsid w:val="003179B6"/>
    <w:rsid w:val="00320AC0"/>
    <w:rsid w:val="003236D7"/>
    <w:rsid w:val="00323C70"/>
    <w:rsid w:val="00323E35"/>
    <w:rsid w:val="0032561D"/>
    <w:rsid w:val="00326F05"/>
    <w:rsid w:val="00330489"/>
    <w:rsid w:val="00331EED"/>
    <w:rsid w:val="00333D12"/>
    <w:rsid w:val="00333FAD"/>
    <w:rsid w:val="0033561B"/>
    <w:rsid w:val="0034314D"/>
    <w:rsid w:val="00343675"/>
    <w:rsid w:val="00343C73"/>
    <w:rsid w:val="00347114"/>
    <w:rsid w:val="00352DA5"/>
    <w:rsid w:val="0035369B"/>
    <w:rsid w:val="003538B0"/>
    <w:rsid w:val="0035651F"/>
    <w:rsid w:val="003571BD"/>
    <w:rsid w:val="003613AF"/>
    <w:rsid w:val="003632FB"/>
    <w:rsid w:val="00364C7C"/>
    <w:rsid w:val="00365459"/>
    <w:rsid w:val="00367F55"/>
    <w:rsid w:val="003701EA"/>
    <w:rsid w:val="00370963"/>
    <w:rsid w:val="00370B13"/>
    <w:rsid w:val="00370C32"/>
    <w:rsid w:val="00373308"/>
    <w:rsid w:val="003765B0"/>
    <w:rsid w:val="003776ED"/>
    <w:rsid w:val="003779D1"/>
    <w:rsid w:val="003802E2"/>
    <w:rsid w:val="003847FA"/>
    <w:rsid w:val="003855A4"/>
    <w:rsid w:val="0038574D"/>
    <w:rsid w:val="00386404"/>
    <w:rsid w:val="00387ECA"/>
    <w:rsid w:val="0039004E"/>
    <w:rsid w:val="00390057"/>
    <w:rsid w:val="00391B7A"/>
    <w:rsid w:val="0039255B"/>
    <w:rsid w:val="00393D57"/>
    <w:rsid w:val="00394CB3"/>
    <w:rsid w:val="00395F25"/>
    <w:rsid w:val="0039649F"/>
    <w:rsid w:val="00396A70"/>
    <w:rsid w:val="00397684"/>
    <w:rsid w:val="00397FEB"/>
    <w:rsid w:val="003A1CB0"/>
    <w:rsid w:val="003A2808"/>
    <w:rsid w:val="003A3AA1"/>
    <w:rsid w:val="003A3FE2"/>
    <w:rsid w:val="003A44DB"/>
    <w:rsid w:val="003B1056"/>
    <w:rsid w:val="003B1E99"/>
    <w:rsid w:val="003B3388"/>
    <w:rsid w:val="003B5BE4"/>
    <w:rsid w:val="003B7535"/>
    <w:rsid w:val="003B7705"/>
    <w:rsid w:val="003C2767"/>
    <w:rsid w:val="003C373F"/>
    <w:rsid w:val="003C3C3E"/>
    <w:rsid w:val="003C4A33"/>
    <w:rsid w:val="003D6513"/>
    <w:rsid w:val="003D7817"/>
    <w:rsid w:val="003E179A"/>
    <w:rsid w:val="003E2BAF"/>
    <w:rsid w:val="003E3538"/>
    <w:rsid w:val="003E4AE1"/>
    <w:rsid w:val="003E662C"/>
    <w:rsid w:val="003E6D9A"/>
    <w:rsid w:val="003F2A42"/>
    <w:rsid w:val="003F2D4B"/>
    <w:rsid w:val="003F36C9"/>
    <w:rsid w:val="003F4C20"/>
    <w:rsid w:val="003F4FCE"/>
    <w:rsid w:val="003F7E7E"/>
    <w:rsid w:val="004009E4"/>
    <w:rsid w:val="004015D3"/>
    <w:rsid w:val="004029A9"/>
    <w:rsid w:val="0040335C"/>
    <w:rsid w:val="00404391"/>
    <w:rsid w:val="0040704B"/>
    <w:rsid w:val="00410476"/>
    <w:rsid w:val="00410BBC"/>
    <w:rsid w:val="00411D32"/>
    <w:rsid w:val="00412622"/>
    <w:rsid w:val="00412DAD"/>
    <w:rsid w:val="004135FF"/>
    <w:rsid w:val="004155E1"/>
    <w:rsid w:val="00416559"/>
    <w:rsid w:val="004165F1"/>
    <w:rsid w:val="004169A0"/>
    <w:rsid w:val="00416D2F"/>
    <w:rsid w:val="00416ED3"/>
    <w:rsid w:val="00417BC0"/>
    <w:rsid w:val="0042043F"/>
    <w:rsid w:val="00420886"/>
    <w:rsid w:val="00421323"/>
    <w:rsid w:val="004216E2"/>
    <w:rsid w:val="00422648"/>
    <w:rsid w:val="00423044"/>
    <w:rsid w:val="004237DC"/>
    <w:rsid w:val="0042452D"/>
    <w:rsid w:val="0042505B"/>
    <w:rsid w:val="0042753F"/>
    <w:rsid w:val="00430965"/>
    <w:rsid w:val="0043128A"/>
    <w:rsid w:val="0043433F"/>
    <w:rsid w:val="004349B6"/>
    <w:rsid w:val="004373FE"/>
    <w:rsid w:val="00437D66"/>
    <w:rsid w:val="00437FF8"/>
    <w:rsid w:val="00440000"/>
    <w:rsid w:val="00441C90"/>
    <w:rsid w:val="00442080"/>
    <w:rsid w:val="004426DE"/>
    <w:rsid w:val="0044327D"/>
    <w:rsid w:val="00445195"/>
    <w:rsid w:val="004460A4"/>
    <w:rsid w:val="0044671B"/>
    <w:rsid w:val="00447401"/>
    <w:rsid w:val="00451574"/>
    <w:rsid w:val="00451D9B"/>
    <w:rsid w:val="00455C5F"/>
    <w:rsid w:val="004614D0"/>
    <w:rsid w:val="00463808"/>
    <w:rsid w:val="00463CCE"/>
    <w:rsid w:val="0046417B"/>
    <w:rsid w:val="00464461"/>
    <w:rsid w:val="00465FDE"/>
    <w:rsid w:val="00466567"/>
    <w:rsid w:val="00466FC0"/>
    <w:rsid w:val="00471706"/>
    <w:rsid w:val="004773F3"/>
    <w:rsid w:val="00477C48"/>
    <w:rsid w:val="0048105A"/>
    <w:rsid w:val="00481E1A"/>
    <w:rsid w:val="004830D4"/>
    <w:rsid w:val="004854D6"/>
    <w:rsid w:val="00485C08"/>
    <w:rsid w:val="00486920"/>
    <w:rsid w:val="00486BA1"/>
    <w:rsid w:val="004873BC"/>
    <w:rsid w:val="00487B9D"/>
    <w:rsid w:val="00490BD0"/>
    <w:rsid w:val="0049281A"/>
    <w:rsid w:val="00492EF8"/>
    <w:rsid w:val="0049352E"/>
    <w:rsid w:val="004947DE"/>
    <w:rsid w:val="00494B06"/>
    <w:rsid w:val="004977EA"/>
    <w:rsid w:val="00497E0A"/>
    <w:rsid w:val="004A1773"/>
    <w:rsid w:val="004A1B3D"/>
    <w:rsid w:val="004A393B"/>
    <w:rsid w:val="004A3D2A"/>
    <w:rsid w:val="004A3E61"/>
    <w:rsid w:val="004A4338"/>
    <w:rsid w:val="004A4E16"/>
    <w:rsid w:val="004A5FFC"/>
    <w:rsid w:val="004A6648"/>
    <w:rsid w:val="004A6980"/>
    <w:rsid w:val="004A73F3"/>
    <w:rsid w:val="004A77E8"/>
    <w:rsid w:val="004B20EB"/>
    <w:rsid w:val="004B31AB"/>
    <w:rsid w:val="004B362B"/>
    <w:rsid w:val="004B7EE8"/>
    <w:rsid w:val="004C18E1"/>
    <w:rsid w:val="004C253D"/>
    <w:rsid w:val="004C759E"/>
    <w:rsid w:val="004D25BC"/>
    <w:rsid w:val="004D4901"/>
    <w:rsid w:val="004D70FE"/>
    <w:rsid w:val="004D7C9C"/>
    <w:rsid w:val="004E003C"/>
    <w:rsid w:val="004E1652"/>
    <w:rsid w:val="004E3160"/>
    <w:rsid w:val="004E352C"/>
    <w:rsid w:val="004E3809"/>
    <w:rsid w:val="004E3C9A"/>
    <w:rsid w:val="004E653D"/>
    <w:rsid w:val="004E735E"/>
    <w:rsid w:val="004F0F41"/>
    <w:rsid w:val="004F1AE2"/>
    <w:rsid w:val="004F51C5"/>
    <w:rsid w:val="004F61E5"/>
    <w:rsid w:val="00501D84"/>
    <w:rsid w:val="00501E41"/>
    <w:rsid w:val="0050294B"/>
    <w:rsid w:val="0050294E"/>
    <w:rsid w:val="00502FE4"/>
    <w:rsid w:val="00510E7B"/>
    <w:rsid w:val="00511014"/>
    <w:rsid w:val="005115C7"/>
    <w:rsid w:val="00513778"/>
    <w:rsid w:val="0051462D"/>
    <w:rsid w:val="005156C5"/>
    <w:rsid w:val="00516A81"/>
    <w:rsid w:val="00516AF0"/>
    <w:rsid w:val="005230BC"/>
    <w:rsid w:val="005321F5"/>
    <w:rsid w:val="00533300"/>
    <w:rsid w:val="00534367"/>
    <w:rsid w:val="00534EAB"/>
    <w:rsid w:val="005350A6"/>
    <w:rsid w:val="00535283"/>
    <w:rsid w:val="00535D0E"/>
    <w:rsid w:val="00536151"/>
    <w:rsid w:val="005362A5"/>
    <w:rsid w:val="005373CB"/>
    <w:rsid w:val="00541254"/>
    <w:rsid w:val="005417C7"/>
    <w:rsid w:val="00542B0B"/>
    <w:rsid w:val="00543A56"/>
    <w:rsid w:val="005450AE"/>
    <w:rsid w:val="005450C1"/>
    <w:rsid w:val="00545196"/>
    <w:rsid w:val="00545AD5"/>
    <w:rsid w:val="00546509"/>
    <w:rsid w:val="00546FFE"/>
    <w:rsid w:val="005500CE"/>
    <w:rsid w:val="00550A22"/>
    <w:rsid w:val="00550EF7"/>
    <w:rsid w:val="0055117B"/>
    <w:rsid w:val="005520C6"/>
    <w:rsid w:val="00552D8A"/>
    <w:rsid w:val="00554164"/>
    <w:rsid w:val="0055538B"/>
    <w:rsid w:val="00555CBF"/>
    <w:rsid w:val="00557703"/>
    <w:rsid w:val="0056149F"/>
    <w:rsid w:val="00562540"/>
    <w:rsid w:val="005652AF"/>
    <w:rsid w:val="00565945"/>
    <w:rsid w:val="00565AAE"/>
    <w:rsid w:val="00565C60"/>
    <w:rsid w:val="00566124"/>
    <w:rsid w:val="00566995"/>
    <w:rsid w:val="00567040"/>
    <w:rsid w:val="00571EBA"/>
    <w:rsid w:val="005720F0"/>
    <w:rsid w:val="005737D0"/>
    <w:rsid w:val="00573B8D"/>
    <w:rsid w:val="00574650"/>
    <w:rsid w:val="00575542"/>
    <w:rsid w:val="00575E33"/>
    <w:rsid w:val="005779F1"/>
    <w:rsid w:val="0058051B"/>
    <w:rsid w:val="00580885"/>
    <w:rsid w:val="00580C36"/>
    <w:rsid w:val="005819FC"/>
    <w:rsid w:val="00583552"/>
    <w:rsid w:val="00583571"/>
    <w:rsid w:val="00583D11"/>
    <w:rsid w:val="0058403F"/>
    <w:rsid w:val="00585D39"/>
    <w:rsid w:val="00586990"/>
    <w:rsid w:val="005872A9"/>
    <w:rsid w:val="005873A6"/>
    <w:rsid w:val="00591516"/>
    <w:rsid w:val="005919CA"/>
    <w:rsid w:val="00592461"/>
    <w:rsid w:val="00592833"/>
    <w:rsid w:val="0059592E"/>
    <w:rsid w:val="00595D4A"/>
    <w:rsid w:val="00596488"/>
    <w:rsid w:val="00597834"/>
    <w:rsid w:val="00597BC0"/>
    <w:rsid w:val="005A1E89"/>
    <w:rsid w:val="005A4917"/>
    <w:rsid w:val="005A52D5"/>
    <w:rsid w:val="005A53BF"/>
    <w:rsid w:val="005A5EB0"/>
    <w:rsid w:val="005B03C4"/>
    <w:rsid w:val="005B17EF"/>
    <w:rsid w:val="005B1BBD"/>
    <w:rsid w:val="005B3A51"/>
    <w:rsid w:val="005B4E1B"/>
    <w:rsid w:val="005B57EF"/>
    <w:rsid w:val="005B5821"/>
    <w:rsid w:val="005B5EB9"/>
    <w:rsid w:val="005B6E34"/>
    <w:rsid w:val="005C0636"/>
    <w:rsid w:val="005C453A"/>
    <w:rsid w:val="005C49BC"/>
    <w:rsid w:val="005C5804"/>
    <w:rsid w:val="005D148D"/>
    <w:rsid w:val="005D26B7"/>
    <w:rsid w:val="005D36DD"/>
    <w:rsid w:val="005D3F0E"/>
    <w:rsid w:val="005D4940"/>
    <w:rsid w:val="005E1303"/>
    <w:rsid w:val="005E1308"/>
    <w:rsid w:val="005E1D31"/>
    <w:rsid w:val="005E48B9"/>
    <w:rsid w:val="005E591A"/>
    <w:rsid w:val="005F0574"/>
    <w:rsid w:val="005F0E72"/>
    <w:rsid w:val="005F237F"/>
    <w:rsid w:val="005F281F"/>
    <w:rsid w:val="005F32B7"/>
    <w:rsid w:val="005F3E25"/>
    <w:rsid w:val="006009A3"/>
    <w:rsid w:val="0060121D"/>
    <w:rsid w:val="006055A2"/>
    <w:rsid w:val="0061120A"/>
    <w:rsid w:val="00612099"/>
    <w:rsid w:val="00613321"/>
    <w:rsid w:val="00614E4B"/>
    <w:rsid w:val="0061794A"/>
    <w:rsid w:val="00617BAA"/>
    <w:rsid w:val="00620D1A"/>
    <w:rsid w:val="00621E11"/>
    <w:rsid w:val="00621F28"/>
    <w:rsid w:val="00622FC0"/>
    <w:rsid w:val="006230FE"/>
    <w:rsid w:val="006234CC"/>
    <w:rsid w:val="00625393"/>
    <w:rsid w:val="00627271"/>
    <w:rsid w:val="00627C93"/>
    <w:rsid w:val="00627EFB"/>
    <w:rsid w:val="0063058E"/>
    <w:rsid w:val="00630F97"/>
    <w:rsid w:val="00631759"/>
    <w:rsid w:val="006332B8"/>
    <w:rsid w:val="0063333C"/>
    <w:rsid w:val="00633376"/>
    <w:rsid w:val="0063367E"/>
    <w:rsid w:val="00633F7A"/>
    <w:rsid w:val="00640996"/>
    <w:rsid w:val="00640CD8"/>
    <w:rsid w:val="006414D3"/>
    <w:rsid w:val="00642039"/>
    <w:rsid w:val="00643973"/>
    <w:rsid w:val="00643ECA"/>
    <w:rsid w:val="00643F08"/>
    <w:rsid w:val="0064682F"/>
    <w:rsid w:val="006469F5"/>
    <w:rsid w:val="00647929"/>
    <w:rsid w:val="006515BE"/>
    <w:rsid w:val="00651C9E"/>
    <w:rsid w:val="0065294B"/>
    <w:rsid w:val="00652AC3"/>
    <w:rsid w:val="00653B0C"/>
    <w:rsid w:val="006545C5"/>
    <w:rsid w:val="006552CA"/>
    <w:rsid w:val="0065642F"/>
    <w:rsid w:val="006579A1"/>
    <w:rsid w:val="00662008"/>
    <w:rsid w:val="0066312E"/>
    <w:rsid w:val="00663803"/>
    <w:rsid w:val="00663D16"/>
    <w:rsid w:val="0066520E"/>
    <w:rsid w:val="0066727E"/>
    <w:rsid w:val="006678D3"/>
    <w:rsid w:val="006700AD"/>
    <w:rsid w:val="006706E4"/>
    <w:rsid w:val="00670836"/>
    <w:rsid w:val="006728E1"/>
    <w:rsid w:val="00673447"/>
    <w:rsid w:val="006741DC"/>
    <w:rsid w:val="00674C3B"/>
    <w:rsid w:val="00675909"/>
    <w:rsid w:val="00675D3D"/>
    <w:rsid w:val="00677568"/>
    <w:rsid w:val="0068164C"/>
    <w:rsid w:val="00681DBE"/>
    <w:rsid w:val="006827F1"/>
    <w:rsid w:val="00683091"/>
    <w:rsid w:val="00683323"/>
    <w:rsid w:val="0068684A"/>
    <w:rsid w:val="006907F1"/>
    <w:rsid w:val="00693573"/>
    <w:rsid w:val="00694C6E"/>
    <w:rsid w:val="00696321"/>
    <w:rsid w:val="0069759F"/>
    <w:rsid w:val="00697957"/>
    <w:rsid w:val="006A0C76"/>
    <w:rsid w:val="006A2EFD"/>
    <w:rsid w:val="006A3DB1"/>
    <w:rsid w:val="006A3F78"/>
    <w:rsid w:val="006A4AA5"/>
    <w:rsid w:val="006A51C5"/>
    <w:rsid w:val="006A5988"/>
    <w:rsid w:val="006A698C"/>
    <w:rsid w:val="006B0314"/>
    <w:rsid w:val="006B0856"/>
    <w:rsid w:val="006B360E"/>
    <w:rsid w:val="006B36A2"/>
    <w:rsid w:val="006B55AC"/>
    <w:rsid w:val="006B5FBB"/>
    <w:rsid w:val="006B7457"/>
    <w:rsid w:val="006B78F7"/>
    <w:rsid w:val="006C11DC"/>
    <w:rsid w:val="006C137F"/>
    <w:rsid w:val="006C24F1"/>
    <w:rsid w:val="006C2C71"/>
    <w:rsid w:val="006C359C"/>
    <w:rsid w:val="006C4039"/>
    <w:rsid w:val="006C4B43"/>
    <w:rsid w:val="006C7242"/>
    <w:rsid w:val="006C7275"/>
    <w:rsid w:val="006D03FF"/>
    <w:rsid w:val="006D0A31"/>
    <w:rsid w:val="006D1BB1"/>
    <w:rsid w:val="006D3084"/>
    <w:rsid w:val="006E0728"/>
    <w:rsid w:val="006E3319"/>
    <w:rsid w:val="006E53BB"/>
    <w:rsid w:val="006E586F"/>
    <w:rsid w:val="006E6048"/>
    <w:rsid w:val="006E6CAE"/>
    <w:rsid w:val="006E798F"/>
    <w:rsid w:val="006F0102"/>
    <w:rsid w:val="006F1841"/>
    <w:rsid w:val="006F1CDC"/>
    <w:rsid w:val="006F1D4E"/>
    <w:rsid w:val="006F24DB"/>
    <w:rsid w:val="006F4B4B"/>
    <w:rsid w:val="006F576F"/>
    <w:rsid w:val="006F668F"/>
    <w:rsid w:val="006F7842"/>
    <w:rsid w:val="006F7D66"/>
    <w:rsid w:val="00703454"/>
    <w:rsid w:val="00703ED5"/>
    <w:rsid w:val="0070493D"/>
    <w:rsid w:val="00705003"/>
    <w:rsid w:val="00705F2D"/>
    <w:rsid w:val="0070696E"/>
    <w:rsid w:val="007110DF"/>
    <w:rsid w:val="0071149F"/>
    <w:rsid w:val="00715C54"/>
    <w:rsid w:val="0071723E"/>
    <w:rsid w:val="00720592"/>
    <w:rsid w:val="007221C2"/>
    <w:rsid w:val="00723CE1"/>
    <w:rsid w:val="00723F1D"/>
    <w:rsid w:val="00724DCE"/>
    <w:rsid w:val="0072690F"/>
    <w:rsid w:val="00730BA2"/>
    <w:rsid w:val="00730EB9"/>
    <w:rsid w:val="00733BCF"/>
    <w:rsid w:val="00735719"/>
    <w:rsid w:val="007358AB"/>
    <w:rsid w:val="00735C68"/>
    <w:rsid w:val="00736211"/>
    <w:rsid w:val="00736C63"/>
    <w:rsid w:val="007379C4"/>
    <w:rsid w:val="00740F0F"/>
    <w:rsid w:val="0074296B"/>
    <w:rsid w:val="0074409E"/>
    <w:rsid w:val="0074585F"/>
    <w:rsid w:val="00746528"/>
    <w:rsid w:val="00747B69"/>
    <w:rsid w:val="0075046E"/>
    <w:rsid w:val="00751BA7"/>
    <w:rsid w:val="00752B0C"/>
    <w:rsid w:val="007543B6"/>
    <w:rsid w:val="0075572C"/>
    <w:rsid w:val="007572A9"/>
    <w:rsid w:val="00761588"/>
    <w:rsid w:val="00761E93"/>
    <w:rsid w:val="00762B71"/>
    <w:rsid w:val="00762D97"/>
    <w:rsid w:val="007654D5"/>
    <w:rsid w:val="00767ECC"/>
    <w:rsid w:val="00770C4F"/>
    <w:rsid w:val="00770ED4"/>
    <w:rsid w:val="0078113E"/>
    <w:rsid w:val="00782A13"/>
    <w:rsid w:val="0078305F"/>
    <w:rsid w:val="0078362A"/>
    <w:rsid w:val="00786D5B"/>
    <w:rsid w:val="00786D8F"/>
    <w:rsid w:val="00787566"/>
    <w:rsid w:val="0079007A"/>
    <w:rsid w:val="0079066E"/>
    <w:rsid w:val="00792914"/>
    <w:rsid w:val="0079417C"/>
    <w:rsid w:val="00795D09"/>
    <w:rsid w:val="007A25E8"/>
    <w:rsid w:val="007A3A05"/>
    <w:rsid w:val="007B18DF"/>
    <w:rsid w:val="007B48AB"/>
    <w:rsid w:val="007B51F1"/>
    <w:rsid w:val="007B79D0"/>
    <w:rsid w:val="007C2DCB"/>
    <w:rsid w:val="007C2FE9"/>
    <w:rsid w:val="007C3BE8"/>
    <w:rsid w:val="007C4DC0"/>
    <w:rsid w:val="007C5860"/>
    <w:rsid w:val="007D02BB"/>
    <w:rsid w:val="007D0719"/>
    <w:rsid w:val="007D196A"/>
    <w:rsid w:val="007D2685"/>
    <w:rsid w:val="007D3777"/>
    <w:rsid w:val="007D455F"/>
    <w:rsid w:val="007D4937"/>
    <w:rsid w:val="007D7882"/>
    <w:rsid w:val="007E061B"/>
    <w:rsid w:val="007E0BCF"/>
    <w:rsid w:val="007E1A40"/>
    <w:rsid w:val="007E2DE2"/>
    <w:rsid w:val="007E3E63"/>
    <w:rsid w:val="007E46F8"/>
    <w:rsid w:val="007E7554"/>
    <w:rsid w:val="007E7727"/>
    <w:rsid w:val="007F1440"/>
    <w:rsid w:val="007F2035"/>
    <w:rsid w:val="007F206C"/>
    <w:rsid w:val="0080094E"/>
    <w:rsid w:val="00802C93"/>
    <w:rsid w:val="008033F6"/>
    <w:rsid w:val="00803562"/>
    <w:rsid w:val="008035D5"/>
    <w:rsid w:val="00804F19"/>
    <w:rsid w:val="00806697"/>
    <w:rsid w:val="0080746F"/>
    <w:rsid w:val="00807552"/>
    <w:rsid w:val="008104AD"/>
    <w:rsid w:val="008110D3"/>
    <w:rsid w:val="00812E41"/>
    <w:rsid w:val="00813817"/>
    <w:rsid w:val="00813F9C"/>
    <w:rsid w:val="00813FE6"/>
    <w:rsid w:val="008140D0"/>
    <w:rsid w:val="00814E52"/>
    <w:rsid w:val="00815DE9"/>
    <w:rsid w:val="0081713D"/>
    <w:rsid w:val="00820757"/>
    <w:rsid w:val="00820A5B"/>
    <w:rsid w:val="00820B70"/>
    <w:rsid w:val="00821CEA"/>
    <w:rsid w:val="00823030"/>
    <w:rsid w:val="00826C50"/>
    <w:rsid w:val="00830179"/>
    <w:rsid w:val="00830EF4"/>
    <w:rsid w:val="008335F9"/>
    <w:rsid w:val="0083541B"/>
    <w:rsid w:val="00836092"/>
    <w:rsid w:val="008375BD"/>
    <w:rsid w:val="0083793D"/>
    <w:rsid w:val="00837D9E"/>
    <w:rsid w:val="008412B0"/>
    <w:rsid w:val="00841385"/>
    <w:rsid w:val="00841F04"/>
    <w:rsid w:val="0084588C"/>
    <w:rsid w:val="00845B23"/>
    <w:rsid w:val="00845FF0"/>
    <w:rsid w:val="00846728"/>
    <w:rsid w:val="00846D06"/>
    <w:rsid w:val="008504BD"/>
    <w:rsid w:val="00853471"/>
    <w:rsid w:val="00853664"/>
    <w:rsid w:val="008568CB"/>
    <w:rsid w:val="008612D0"/>
    <w:rsid w:val="0086223F"/>
    <w:rsid w:val="00862CE5"/>
    <w:rsid w:val="008641D2"/>
    <w:rsid w:val="0086457E"/>
    <w:rsid w:val="0086496E"/>
    <w:rsid w:val="00864E80"/>
    <w:rsid w:val="008663D9"/>
    <w:rsid w:val="00867387"/>
    <w:rsid w:val="00867433"/>
    <w:rsid w:val="008717CF"/>
    <w:rsid w:val="008726B5"/>
    <w:rsid w:val="00872E40"/>
    <w:rsid w:val="00872F58"/>
    <w:rsid w:val="00873221"/>
    <w:rsid w:val="00873A1C"/>
    <w:rsid w:val="00874977"/>
    <w:rsid w:val="00876C3A"/>
    <w:rsid w:val="00876F71"/>
    <w:rsid w:val="00876FC6"/>
    <w:rsid w:val="008811CA"/>
    <w:rsid w:val="008828D1"/>
    <w:rsid w:val="00882CCB"/>
    <w:rsid w:val="0088459B"/>
    <w:rsid w:val="00885066"/>
    <w:rsid w:val="008853C0"/>
    <w:rsid w:val="00886393"/>
    <w:rsid w:val="00886690"/>
    <w:rsid w:val="00886E74"/>
    <w:rsid w:val="008872ED"/>
    <w:rsid w:val="00892DAF"/>
    <w:rsid w:val="0089387A"/>
    <w:rsid w:val="00894749"/>
    <w:rsid w:val="008949C3"/>
    <w:rsid w:val="008A1676"/>
    <w:rsid w:val="008A1B0A"/>
    <w:rsid w:val="008A20A8"/>
    <w:rsid w:val="008A2924"/>
    <w:rsid w:val="008A2A48"/>
    <w:rsid w:val="008A3EE0"/>
    <w:rsid w:val="008A667E"/>
    <w:rsid w:val="008A7984"/>
    <w:rsid w:val="008B01D3"/>
    <w:rsid w:val="008B160E"/>
    <w:rsid w:val="008B2143"/>
    <w:rsid w:val="008B23D4"/>
    <w:rsid w:val="008B4CF2"/>
    <w:rsid w:val="008B523A"/>
    <w:rsid w:val="008B5AEA"/>
    <w:rsid w:val="008B65FB"/>
    <w:rsid w:val="008B6DB4"/>
    <w:rsid w:val="008B72B3"/>
    <w:rsid w:val="008B76D1"/>
    <w:rsid w:val="008C3DF0"/>
    <w:rsid w:val="008D0BD9"/>
    <w:rsid w:val="008E0212"/>
    <w:rsid w:val="008E080D"/>
    <w:rsid w:val="008E1A22"/>
    <w:rsid w:val="008E336A"/>
    <w:rsid w:val="008E4357"/>
    <w:rsid w:val="008E4B97"/>
    <w:rsid w:val="008E5A19"/>
    <w:rsid w:val="008E5C18"/>
    <w:rsid w:val="008E6456"/>
    <w:rsid w:val="008E7875"/>
    <w:rsid w:val="008F0C92"/>
    <w:rsid w:val="008F3EA4"/>
    <w:rsid w:val="008F3F25"/>
    <w:rsid w:val="008F42D3"/>
    <w:rsid w:val="008F5A33"/>
    <w:rsid w:val="00900EC1"/>
    <w:rsid w:val="00900F2F"/>
    <w:rsid w:val="009010CD"/>
    <w:rsid w:val="00903557"/>
    <w:rsid w:val="00904C42"/>
    <w:rsid w:val="00905492"/>
    <w:rsid w:val="00907C55"/>
    <w:rsid w:val="00907CF3"/>
    <w:rsid w:val="00907F87"/>
    <w:rsid w:val="00911D75"/>
    <w:rsid w:val="00911ECA"/>
    <w:rsid w:val="00912AA7"/>
    <w:rsid w:val="00912D43"/>
    <w:rsid w:val="00912F3B"/>
    <w:rsid w:val="00914952"/>
    <w:rsid w:val="00914DA9"/>
    <w:rsid w:val="00915FD3"/>
    <w:rsid w:val="0091617B"/>
    <w:rsid w:val="00916340"/>
    <w:rsid w:val="00916AAA"/>
    <w:rsid w:val="00920452"/>
    <w:rsid w:val="009205E9"/>
    <w:rsid w:val="00920972"/>
    <w:rsid w:val="00920A17"/>
    <w:rsid w:val="00921370"/>
    <w:rsid w:val="00921DD3"/>
    <w:rsid w:val="0092317C"/>
    <w:rsid w:val="0092325A"/>
    <w:rsid w:val="00924420"/>
    <w:rsid w:val="00925834"/>
    <w:rsid w:val="00925F18"/>
    <w:rsid w:val="009266A7"/>
    <w:rsid w:val="00926C2D"/>
    <w:rsid w:val="009329CC"/>
    <w:rsid w:val="009343D9"/>
    <w:rsid w:val="00935D6C"/>
    <w:rsid w:val="00936F29"/>
    <w:rsid w:val="009379C6"/>
    <w:rsid w:val="00940117"/>
    <w:rsid w:val="009408AC"/>
    <w:rsid w:val="00940E92"/>
    <w:rsid w:val="009439BB"/>
    <w:rsid w:val="009440E4"/>
    <w:rsid w:val="009455C2"/>
    <w:rsid w:val="00945DF3"/>
    <w:rsid w:val="009469F5"/>
    <w:rsid w:val="00946EFC"/>
    <w:rsid w:val="009470EC"/>
    <w:rsid w:val="00947683"/>
    <w:rsid w:val="00951779"/>
    <w:rsid w:val="00953988"/>
    <w:rsid w:val="00953B7F"/>
    <w:rsid w:val="0095471E"/>
    <w:rsid w:val="0095699C"/>
    <w:rsid w:val="0095762F"/>
    <w:rsid w:val="00961D02"/>
    <w:rsid w:val="00962374"/>
    <w:rsid w:val="0096410D"/>
    <w:rsid w:val="009644EE"/>
    <w:rsid w:val="00964F9B"/>
    <w:rsid w:val="0096523C"/>
    <w:rsid w:val="009658A2"/>
    <w:rsid w:val="00966B94"/>
    <w:rsid w:val="00971D4D"/>
    <w:rsid w:val="009753C7"/>
    <w:rsid w:val="00976DDC"/>
    <w:rsid w:val="00977679"/>
    <w:rsid w:val="00980FD0"/>
    <w:rsid w:val="0098253C"/>
    <w:rsid w:val="00983752"/>
    <w:rsid w:val="00984DA3"/>
    <w:rsid w:val="00991DF9"/>
    <w:rsid w:val="00992574"/>
    <w:rsid w:val="00992ACE"/>
    <w:rsid w:val="00993E99"/>
    <w:rsid w:val="00994073"/>
    <w:rsid w:val="00995389"/>
    <w:rsid w:val="00995BBA"/>
    <w:rsid w:val="0099755C"/>
    <w:rsid w:val="009A08E1"/>
    <w:rsid w:val="009A118A"/>
    <w:rsid w:val="009A31F3"/>
    <w:rsid w:val="009A3939"/>
    <w:rsid w:val="009A3A92"/>
    <w:rsid w:val="009A3E57"/>
    <w:rsid w:val="009A5E41"/>
    <w:rsid w:val="009B0C40"/>
    <w:rsid w:val="009B10F2"/>
    <w:rsid w:val="009B1115"/>
    <w:rsid w:val="009B3F0D"/>
    <w:rsid w:val="009B4680"/>
    <w:rsid w:val="009B47A7"/>
    <w:rsid w:val="009B5C46"/>
    <w:rsid w:val="009B615C"/>
    <w:rsid w:val="009B61F2"/>
    <w:rsid w:val="009B6E76"/>
    <w:rsid w:val="009C1E89"/>
    <w:rsid w:val="009C6A2C"/>
    <w:rsid w:val="009C7B15"/>
    <w:rsid w:val="009D074E"/>
    <w:rsid w:val="009D0FC5"/>
    <w:rsid w:val="009D33F8"/>
    <w:rsid w:val="009D4699"/>
    <w:rsid w:val="009D64C7"/>
    <w:rsid w:val="009D6ADB"/>
    <w:rsid w:val="009D7881"/>
    <w:rsid w:val="009D7972"/>
    <w:rsid w:val="009E1711"/>
    <w:rsid w:val="009E18F7"/>
    <w:rsid w:val="009E20F6"/>
    <w:rsid w:val="009E250F"/>
    <w:rsid w:val="009E384C"/>
    <w:rsid w:val="009E4D98"/>
    <w:rsid w:val="009E6944"/>
    <w:rsid w:val="009E79EA"/>
    <w:rsid w:val="009F3476"/>
    <w:rsid w:val="009F6EC1"/>
    <w:rsid w:val="009F7E78"/>
    <w:rsid w:val="00A01ECD"/>
    <w:rsid w:val="00A02E2D"/>
    <w:rsid w:val="00A0548E"/>
    <w:rsid w:val="00A05967"/>
    <w:rsid w:val="00A062D2"/>
    <w:rsid w:val="00A078E5"/>
    <w:rsid w:val="00A10062"/>
    <w:rsid w:val="00A1201C"/>
    <w:rsid w:val="00A12A23"/>
    <w:rsid w:val="00A13D0A"/>
    <w:rsid w:val="00A14F94"/>
    <w:rsid w:val="00A15960"/>
    <w:rsid w:val="00A1639B"/>
    <w:rsid w:val="00A178ED"/>
    <w:rsid w:val="00A20E4B"/>
    <w:rsid w:val="00A21937"/>
    <w:rsid w:val="00A2381F"/>
    <w:rsid w:val="00A25B9A"/>
    <w:rsid w:val="00A27C90"/>
    <w:rsid w:val="00A31719"/>
    <w:rsid w:val="00A32F44"/>
    <w:rsid w:val="00A337DF"/>
    <w:rsid w:val="00A338E3"/>
    <w:rsid w:val="00A35DBA"/>
    <w:rsid w:val="00A36BB9"/>
    <w:rsid w:val="00A40351"/>
    <w:rsid w:val="00A4071C"/>
    <w:rsid w:val="00A41878"/>
    <w:rsid w:val="00A43541"/>
    <w:rsid w:val="00A47734"/>
    <w:rsid w:val="00A478F8"/>
    <w:rsid w:val="00A513AD"/>
    <w:rsid w:val="00A526F1"/>
    <w:rsid w:val="00A533C2"/>
    <w:rsid w:val="00A55542"/>
    <w:rsid w:val="00A5588C"/>
    <w:rsid w:val="00A562B4"/>
    <w:rsid w:val="00A57211"/>
    <w:rsid w:val="00A607F3"/>
    <w:rsid w:val="00A6095B"/>
    <w:rsid w:val="00A6110C"/>
    <w:rsid w:val="00A61BC8"/>
    <w:rsid w:val="00A63A44"/>
    <w:rsid w:val="00A668CF"/>
    <w:rsid w:val="00A66D81"/>
    <w:rsid w:val="00A71B0F"/>
    <w:rsid w:val="00A73BD4"/>
    <w:rsid w:val="00A80478"/>
    <w:rsid w:val="00A80990"/>
    <w:rsid w:val="00A814C0"/>
    <w:rsid w:val="00A84ED4"/>
    <w:rsid w:val="00A8521A"/>
    <w:rsid w:val="00A90AE2"/>
    <w:rsid w:val="00A90C31"/>
    <w:rsid w:val="00A95468"/>
    <w:rsid w:val="00A96682"/>
    <w:rsid w:val="00A97729"/>
    <w:rsid w:val="00AA0546"/>
    <w:rsid w:val="00AA2CBA"/>
    <w:rsid w:val="00AA3EEE"/>
    <w:rsid w:val="00AA4C0E"/>
    <w:rsid w:val="00AA4E01"/>
    <w:rsid w:val="00AA612A"/>
    <w:rsid w:val="00AA66D3"/>
    <w:rsid w:val="00AA6BCC"/>
    <w:rsid w:val="00AA7CCC"/>
    <w:rsid w:val="00AB0F04"/>
    <w:rsid w:val="00AB1877"/>
    <w:rsid w:val="00AB1B8A"/>
    <w:rsid w:val="00AB2295"/>
    <w:rsid w:val="00AB252B"/>
    <w:rsid w:val="00AB2C39"/>
    <w:rsid w:val="00AB2E10"/>
    <w:rsid w:val="00AB31A0"/>
    <w:rsid w:val="00AB3515"/>
    <w:rsid w:val="00AB77AD"/>
    <w:rsid w:val="00AC0E53"/>
    <w:rsid w:val="00AC1B80"/>
    <w:rsid w:val="00AC22C0"/>
    <w:rsid w:val="00AC2CC9"/>
    <w:rsid w:val="00AC3900"/>
    <w:rsid w:val="00AC41F1"/>
    <w:rsid w:val="00AC5CE1"/>
    <w:rsid w:val="00AD321C"/>
    <w:rsid w:val="00AD34C5"/>
    <w:rsid w:val="00AD3975"/>
    <w:rsid w:val="00AD3BE8"/>
    <w:rsid w:val="00AD5D45"/>
    <w:rsid w:val="00AD7344"/>
    <w:rsid w:val="00AE0BFF"/>
    <w:rsid w:val="00AE560F"/>
    <w:rsid w:val="00AE5E9C"/>
    <w:rsid w:val="00AE7146"/>
    <w:rsid w:val="00AE7369"/>
    <w:rsid w:val="00AE7BE6"/>
    <w:rsid w:val="00AF0BED"/>
    <w:rsid w:val="00AF0FD9"/>
    <w:rsid w:val="00AF1986"/>
    <w:rsid w:val="00AF2B06"/>
    <w:rsid w:val="00AF3881"/>
    <w:rsid w:val="00AF38C9"/>
    <w:rsid w:val="00AF4CA3"/>
    <w:rsid w:val="00AF53CF"/>
    <w:rsid w:val="00AF6F10"/>
    <w:rsid w:val="00B00AFB"/>
    <w:rsid w:val="00B02418"/>
    <w:rsid w:val="00B0306E"/>
    <w:rsid w:val="00B03479"/>
    <w:rsid w:val="00B03CE0"/>
    <w:rsid w:val="00B0527C"/>
    <w:rsid w:val="00B059C3"/>
    <w:rsid w:val="00B06A03"/>
    <w:rsid w:val="00B1042E"/>
    <w:rsid w:val="00B10DA6"/>
    <w:rsid w:val="00B12DD5"/>
    <w:rsid w:val="00B13609"/>
    <w:rsid w:val="00B13772"/>
    <w:rsid w:val="00B13E4D"/>
    <w:rsid w:val="00B14FBF"/>
    <w:rsid w:val="00B15074"/>
    <w:rsid w:val="00B178F9"/>
    <w:rsid w:val="00B21081"/>
    <w:rsid w:val="00B21CD9"/>
    <w:rsid w:val="00B21F16"/>
    <w:rsid w:val="00B21FD7"/>
    <w:rsid w:val="00B23507"/>
    <w:rsid w:val="00B23660"/>
    <w:rsid w:val="00B245BD"/>
    <w:rsid w:val="00B25515"/>
    <w:rsid w:val="00B25AD4"/>
    <w:rsid w:val="00B272A8"/>
    <w:rsid w:val="00B30364"/>
    <w:rsid w:val="00B30860"/>
    <w:rsid w:val="00B30957"/>
    <w:rsid w:val="00B339C2"/>
    <w:rsid w:val="00B33E37"/>
    <w:rsid w:val="00B33FD7"/>
    <w:rsid w:val="00B34287"/>
    <w:rsid w:val="00B34EA2"/>
    <w:rsid w:val="00B3669A"/>
    <w:rsid w:val="00B401A9"/>
    <w:rsid w:val="00B41CA8"/>
    <w:rsid w:val="00B423E6"/>
    <w:rsid w:val="00B438F8"/>
    <w:rsid w:val="00B457B6"/>
    <w:rsid w:val="00B46902"/>
    <w:rsid w:val="00B47453"/>
    <w:rsid w:val="00B51003"/>
    <w:rsid w:val="00B51B84"/>
    <w:rsid w:val="00B51ED0"/>
    <w:rsid w:val="00B53F5E"/>
    <w:rsid w:val="00B54A29"/>
    <w:rsid w:val="00B55795"/>
    <w:rsid w:val="00B564A0"/>
    <w:rsid w:val="00B56C62"/>
    <w:rsid w:val="00B600BB"/>
    <w:rsid w:val="00B622D3"/>
    <w:rsid w:val="00B62ADC"/>
    <w:rsid w:val="00B63292"/>
    <w:rsid w:val="00B633E4"/>
    <w:rsid w:val="00B644E0"/>
    <w:rsid w:val="00B64970"/>
    <w:rsid w:val="00B65E23"/>
    <w:rsid w:val="00B66393"/>
    <w:rsid w:val="00B66A8F"/>
    <w:rsid w:val="00B67140"/>
    <w:rsid w:val="00B67EB9"/>
    <w:rsid w:val="00B7051E"/>
    <w:rsid w:val="00B72538"/>
    <w:rsid w:val="00B74A88"/>
    <w:rsid w:val="00B74CC1"/>
    <w:rsid w:val="00B779C0"/>
    <w:rsid w:val="00B83912"/>
    <w:rsid w:val="00B84598"/>
    <w:rsid w:val="00B86DAD"/>
    <w:rsid w:val="00B876C0"/>
    <w:rsid w:val="00B9124D"/>
    <w:rsid w:val="00B94014"/>
    <w:rsid w:val="00B9536A"/>
    <w:rsid w:val="00B95F0D"/>
    <w:rsid w:val="00B96906"/>
    <w:rsid w:val="00B96BA5"/>
    <w:rsid w:val="00B96D69"/>
    <w:rsid w:val="00BA174B"/>
    <w:rsid w:val="00BA1AC2"/>
    <w:rsid w:val="00BA1F16"/>
    <w:rsid w:val="00BA2F7E"/>
    <w:rsid w:val="00BA4D0D"/>
    <w:rsid w:val="00BB2CBC"/>
    <w:rsid w:val="00BB3DA9"/>
    <w:rsid w:val="00BB4F13"/>
    <w:rsid w:val="00BB5C32"/>
    <w:rsid w:val="00BC00CD"/>
    <w:rsid w:val="00BC1758"/>
    <w:rsid w:val="00BC18C4"/>
    <w:rsid w:val="00BC1DF0"/>
    <w:rsid w:val="00BC1F54"/>
    <w:rsid w:val="00BC336F"/>
    <w:rsid w:val="00BC3E34"/>
    <w:rsid w:val="00BC47C7"/>
    <w:rsid w:val="00BC6422"/>
    <w:rsid w:val="00BC7798"/>
    <w:rsid w:val="00BD052D"/>
    <w:rsid w:val="00BD4001"/>
    <w:rsid w:val="00BD4C39"/>
    <w:rsid w:val="00BD57BE"/>
    <w:rsid w:val="00BD626B"/>
    <w:rsid w:val="00BD64BF"/>
    <w:rsid w:val="00BD72AA"/>
    <w:rsid w:val="00BE0757"/>
    <w:rsid w:val="00BE1399"/>
    <w:rsid w:val="00BE1E51"/>
    <w:rsid w:val="00BE5656"/>
    <w:rsid w:val="00BE58A0"/>
    <w:rsid w:val="00BF1094"/>
    <w:rsid w:val="00BF14C6"/>
    <w:rsid w:val="00BF39D2"/>
    <w:rsid w:val="00BF4147"/>
    <w:rsid w:val="00C00FB6"/>
    <w:rsid w:val="00C021FB"/>
    <w:rsid w:val="00C03EC7"/>
    <w:rsid w:val="00C06C89"/>
    <w:rsid w:val="00C14D45"/>
    <w:rsid w:val="00C1633E"/>
    <w:rsid w:val="00C178F9"/>
    <w:rsid w:val="00C20A2C"/>
    <w:rsid w:val="00C20C51"/>
    <w:rsid w:val="00C216E6"/>
    <w:rsid w:val="00C218B5"/>
    <w:rsid w:val="00C2364E"/>
    <w:rsid w:val="00C253B7"/>
    <w:rsid w:val="00C26B4E"/>
    <w:rsid w:val="00C270D3"/>
    <w:rsid w:val="00C30BF1"/>
    <w:rsid w:val="00C30D16"/>
    <w:rsid w:val="00C31BF3"/>
    <w:rsid w:val="00C31CDA"/>
    <w:rsid w:val="00C323EC"/>
    <w:rsid w:val="00C3260F"/>
    <w:rsid w:val="00C32AA3"/>
    <w:rsid w:val="00C356E3"/>
    <w:rsid w:val="00C36DBD"/>
    <w:rsid w:val="00C41D9C"/>
    <w:rsid w:val="00C42315"/>
    <w:rsid w:val="00C4308F"/>
    <w:rsid w:val="00C45288"/>
    <w:rsid w:val="00C45F71"/>
    <w:rsid w:val="00C513C2"/>
    <w:rsid w:val="00C51668"/>
    <w:rsid w:val="00C535A5"/>
    <w:rsid w:val="00C53633"/>
    <w:rsid w:val="00C57D43"/>
    <w:rsid w:val="00C605D2"/>
    <w:rsid w:val="00C605D7"/>
    <w:rsid w:val="00C63043"/>
    <w:rsid w:val="00C6372A"/>
    <w:rsid w:val="00C63A26"/>
    <w:rsid w:val="00C641A3"/>
    <w:rsid w:val="00C65846"/>
    <w:rsid w:val="00C707A9"/>
    <w:rsid w:val="00C7086A"/>
    <w:rsid w:val="00C73DB6"/>
    <w:rsid w:val="00C7444C"/>
    <w:rsid w:val="00C753CB"/>
    <w:rsid w:val="00C75FF7"/>
    <w:rsid w:val="00C76B37"/>
    <w:rsid w:val="00C820D4"/>
    <w:rsid w:val="00C8212F"/>
    <w:rsid w:val="00C8360A"/>
    <w:rsid w:val="00C83648"/>
    <w:rsid w:val="00C8513B"/>
    <w:rsid w:val="00C85FCB"/>
    <w:rsid w:val="00C86041"/>
    <w:rsid w:val="00C865A1"/>
    <w:rsid w:val="00C86BDE"/>
    <w:rsid w:val="00C8777A"/>
    <w:rsid w:val="00C914ED"/>
    <w:rsid w:val="00C91E6F"/>
    <w:rsid w:val="00C91E97"/>
    <w:rsid w:val="00C934D0"/>
    <w:rsid w:val="00C956D1"/>
    <w:rsid w:val="00C96B18"/>
    <w:rsid w:val="00C97F13"/>
    <w:rsid w:val="00CA0A2E"/>
    <w:rsid w:val="00CA2545"/>
    <w:rsid w:val="00CA6190"/>
    <w:rsid w:val="00CB03F3"/>
    <w:rsid w:val="00CB43E9"/>
    <w:rsid w:val="00CB51A9"/>
    <w:rsid w:val="00CB6D24"/>
    <w:rsid w:val="00CC04EE"/>
    <w:rsid w:val="00CC10BF"/>
    <w:rsid w:val="00CC27DA"/>
    <w:rsid w:val="00CC40DE"/>
    <w:rsid w:val="00CC6412"/>
    <w:rsid w:val="00CC6437"/>
    <w:rsid w:val="00CC696E"/>
    <w:rsid w:val="00CC6F1A"/>
    <w:rsid w:val="00CD16DD"/>
    <w:rsid w:val="00CD3EF8"/>
    <w:rsid w:val="00CD5A4A"/>
    <w:rsid w:val="00CD69AF"/>
    <w:rsid w:val="00CE2526"/>
    <w:rsid w:val="00CE296E"/>
    <w:rsid w:val="00CE328C"/>
    <w:rsid w:val="00CE345B"/>
    <w:rsid w:val="00CF01C2"/>
    <w:rsid w:val="00CF0884"/>
    <w:rsid w:val="00CF0C96"/>
    <w:rsid w:val="00CF19C3"/>
    <w:rsid w:val="00CF3DAB"/>
    <w:rsid w:val="00CF5C20"/>
    <w:rsid w:val="00CF6723"/>
    <w:rsid w:val="00CF73CB"/>
    <w:rsid w:val="00CF74D5"/>
    <w:rsid w:val="00CF7938"/>
    <w:rsid w:val="00CF79A9"/>
    <w:rsid w:val="00CF7E9D"/>
    <w:rsid w:val="00D00EA0"/>
    <w:rsid w:val="00D018F9"/>
    <w:rsid w:val="00D04FE8"/>
    <w:rsid w:val="00D12795"/>
    <w:rsid w:val="00D13F3C"/>
    <w:rsid w:val="00D141A7"/>
    <w:rsid w:val="00D14A1D"/>
    <w:rsid w:val="00D15B89"/>
    <w:rsid w:val="00D1638E"/>
    <w:rsid w:val="00D20F8A"/>
    <w:rsid w:val="00D21F1A"/>
    <w:rsid w:val="00D2258E"/>
    <w:rsid w:val="00D22D0F"/>
    <w:rsid w:val="00D2343A"/>
    <w:rsid w:val="00D255D8"/>
    <w:rsid w:val="00D25FF0"/>
    <w:rsid w:val="00D2632C"/>
    <w:rsid w:val="00D27AC2"/>
    <w:rsid w:val="00D27E38"/>
    <w:rsid w:val="00D31DDF"/>
    <w:rsid w:val="00D3257E"/>
    <w:rsid w:val="00D33609"/>
    <w:rsid w:val="00D33E4F"/>
    <w:rsid w:val="00D33F1C"/>
    <w:rsid w:val="00D34E73"/>
    <w:rsid w:val="00D35565"/>
    <w:rsid w:val="00D35B61"/>
    <w:rsid w:val="00D35E0C"/>
    <w:rsid w:val="00D35FAD"/>
    <w:rsid w:val="00D400A5"/>
    <w:rsid w:val="00D4026B"/>
    <w:rsid w:val="00D44043"/>
    <w:rsid w:val="00D44B4D"/>
    <w:rsid w:val="00D4522C"/>
    <w:rsid w:val="00D45C3E"/>
    <w:rsid w:val="00D4737D"/>
    <w:rsid w:val="00D47E68"/>
    <w:rsid w:val="00D47FC7"/>
    <w:rsid w:val="00D50A2C"/>
    <w:rsid w:val="00D5109E"/>
    <w:rsid w:val="00D52686"/>
    <w:rsid w:val="00D52950"/>
    <w:rsid w:val="00D549B2"/>
    <w:rsid w:val="00D54C69"/>
    <w:rsid w:val="00D5740F"/>
    <w:rsid w:val="00D57A01"/>
    <w:rsid w:val="00D65BFF"/>
    <w:rsid w:val="00D67404"/>
    <w:rsid w:val="00D7290B"/>
    <w:rsid w:val="00D7567A"/>
    <w:rsid w:val="00D76E71"/>
    <w:rsid w:val="00D776DD"/>
    <w:rsid w:val="00D806A0"/>
    <w:rsid w:val="00D8095A"/>
    <w:rsid w:val="00D83A31"/>
    <w:rsid w:val="00D83A67"/>
    <w:rsid w:val="00D84435"/>
    <w:rsid w:val="00D8453F"/>
    <w:rsid w:val="00D85FC2"/>
    <w:rsid w:val="00D85FCE"/>
    <w:rsid w:val="00D91179"/>
    <w:rsid w:val="00D96FF7"/>
    <w:rsid w:val="00D97492"/>
    <w:rsid w:val="00D97EC1"/>
    <w:rsid w:val="00DA40B1"/>
    <w:rsid w:val="00DA475C"/>
    <w:rsid w:val="00DA4CB1"/>
    <w:rsid w:val="00DA51E6"/>
    <w:rsid w:val="00DA7034"/>
    <w:rsid w:val="00DA7D1A"/>
    <w:rsid w:val="00DB277D"/>
    <w:rsid w:val="00DB3562"/>
    <w:rsid w:val="00DB388C"/>
    <w:rsid w:val="00DB558D"/>
    <w:rsid w:val="00DB6594"/>
    <w:rsid w:val="00DB7C84"/>
    <w:rsid w:val="00DB7F8D"/>
    <w:rsid w:val="00DC0CFA"/>
    <w:rsid w:val="00DC1233"/>
    <w:rsid w:val="00DC486B"/>
    <w:rsid w:val="00DC52B8"/>
    <w:rsid w:val="00DC5441"/>
    <w:rsid w:val="00DC56A2"/>
    <w:rsid w:val="00DC6268"/>
    <w:rsid w:val="00DC71C7"/>
    <w:rsid w:val="00DC71FC"/>
    <w:rsid w:val="00DC785E"/>
    <w:rsid w:val="00DD0046"/>
    <w:rsid w:val="00DD2B2E"/>
    <w:rsid w:val="00DD382C"/>
    <w:rsid w:val="00DD3DB3"/>
    <w:rsid w:val="00DD4205"/>
    <w:rsid w:val="00DD472F"/>
    <w:rsid w:val="00DD4A0E"/>
    <w:rsid w:val="00DD7166"/>
    <w:rsid w:val="00DD78A0"/>
    <w:rsid w:val="00DE1FA8"/>
    <w:rsid w:val="00DE2168"/>
    <w:rsid w:val="00DE41B8"/>
    <w:rsid w:val="00DE422D"/>
    <w:rsid w:val="00DE5272"/>
    <w:rsid w:val="00DE5660"/>
    <w:rsid w:val="00DE57D5"/>
    <w:rsid w:val="00DF0256"/>
    <w:rsid w:val="00DF0442"/>
    <w:rsid w:val="00DF24FD"/>
    <w:rsid w:val="00DF32EE"/>
    <w:rsid w:val="00DF549E"/>
    <w:rsid w:val="00DF60F4"/>
    <w:rsid w:val="00DF61B7"/>
    <w:rsid w:val="00DF6666"/>
    <w:rsid w:val="00E01693"/>
    <w:rsid w:val="00E01F9A"/>
    <w:rsid w:val="00E03945"/>
    <w:rsid w:val="00E03EAC"/>
    <w:rsid w:val="00E06716"/>
    <w:rsid w:val="00E0781D"/>
    <w:rsid w:val="00E07DF5"/>
    <w:rsid w:val="00E11FD9"/>
    <w:rsid w:val="00E12015"/>
    <w:rsid w:val="00E1395E"/>
    <w:rsid w:val="00E1458A"/>
    <w:rsid w:val="00E1603A"/>
    <w:rsid w:val="00E17181"/>
    <w:rsid w:val="00E20672"/>
    <w:rsid w:val="00E213E9"/>
    <w:rsid w:val="00E21778"/>
    <w:rsid w:val="00E2206E"/>
    <w:rsid w:val="00E222D8"/>
    <w:rsid w:val="00E22B48"/>
    <w:rsid w:val="00E22C2D"/>
    <w:rsid w:val="00E23013"/>
    <w:rsid w:val="00E2424B"/>
    <w:rsid w:val="00E25486"/>
    <w:rsid w:val="00E26B7E"/>
    <w:rsid w:val="00E27329"/>
    <w:rsid w:val="00E312B9"/>
    <w:rsid w:val="00E32D8A"/>
    <w:rsid w:val="00E3406D"/>
    <w:rsid w:val="00E34216"/>
    <w:rsid w:val="00E3511F"/>
    <w:rsid w:val="00E3582B"/>
    <w:rsid w:val="00E36BEF"/>
    <w:rsid w:val="00E3718D"/>
    <w:rsid w:val="00E37462"/>
    <w:rsid w:val="00E37F22"/>
    <w:rsid w:val="00E37FC1"/>
    <w:rsid w:val="00E41C10"/>
    <w:rsid w:val="00E4582D"/>
    <w:rsid w:val="00E4655A"/>
    <w:rsid w:val="00E50467"/>
    <w:rsid w:val="00E530E2"/>
    <w:rsid w:val="00E5510D"/>
    <w:rsid w:val="00E55CD0"/>
    <w:rsid w:val="00E56BDD"/>
    <w:rsid w:val="00E60954"/>
    <w:rsid w:val="00E60C70"/>
    <w:rsid w:val="00E62CBA"/>
    <w:rsid w:val="00E63064"/>
    <w:rsid w:val="00E67275"/>
    <w:rsid w:val="00E714F4"/>
    <w:rsid w:val="00E71F03"/>
    <w:rsid w:val="00E729DF"/>
    <w:rsid w:val="00E74128"/>
    <w:rsid w:val="00E75F3B"/>
    <w:rsid w:val="00E7647A"/>
    <w:rsid w:val="00E764D1"/>
    <w:rsid w:val="00E769DB"/>
    <w:rsid w:val="00E776C3"/>
    <w:rsid w:val="00E77C94"/>
    <w:rsid w:val="00E8224D"/>
    <w:rsid w:val="00E830E6"/>
    <w:rsid w:val="00E924FC"/>
    <w:rsid w:val="00E929E4"/>
    <w:rsid w:val="00E931F6"/>
    <w:rsid w:val="00E950A2"/>
    <w:rsid w:val="00E95EF6"/>
    <w:rsid w:val="00E96423"/>
    <w:rsid w:val="00E96A59"/>
    <w:rsid w:val="00E97898"/>
    <w:rsid w:val="00EA07D4"/>
    <w:rsid w:val="00EA0814"/>
    <w:rsid w:val="00EA0C5B"/>
    <w:rsid w:val="00EA516E"/>
    <w:rsid w:val="00EA745C"/>
    <w:rsid w:val="00EB1C42"/>
    <w:rsid w:val="00EB23FD"/>
    <w:rsid w:val="00EB2DD5"/>
    <w:rsid w:val="00EB5AB0"/>
    <w:rsid w:val="00EB64F1"/>
    <w:rsid w:val="00EB6721"/>
    <w:rsid w:val="00EB6A66"/>
    <w:rsid w:val="00EC3BD7"/>
    <w:rsid w:val="00EC42C5"/>
    <w:rsid w:val="00EC4981"/>
    <w:rsid w:val="00ED1165"/>
    <w:rsid w:val="00ED21AF"/>
    <w:rsid w:val="00ED399B"/>
    <w:rsid w:val="00ED44F1"/>
    <w:rsid w:val="00ED44F4"/>
    <w:rsid w:val="00ED5542"/>
    <w:rsid w:val="00ED62D2"/>
    <w:rsid w:val="00ED71EF"/>
    <w:rsid w:val="00ED72F3"/>
    <w:rsid w:val="00ED7C7C"/>
    <w:rsid w:val="00EE0EDC"/>
    <w:rsid w:val="00EE2ACD"/>
    <w:rsid w:val="00EE2ED5"/>
    <w:rsid w:val="00EE4160"/>
    <w:rsid w:val="00EE4606"/>
    <w:rsid w:val="00EE47AF"/>
    <w:rsid w:val="00EE5178"/>
    <w:rsid w:val="00EE5814"/>
    <w:rsid w:val="00EE581C"/>
    <w:rsid w:val="00EE6047"/>
    <w:rsid w:val="00EE69BD"/>
    <w:rsid w:val="00EF370F"/>
    <w:rsid w:val="00EF4D3C"/>
    <w:rsid w:val="00EF6F22"/>
    <w:rsid w:val="00EF785F"/>
    <w:rsid w:val="00F0140A"/>
    <w:rsid w:val="00F02D2A"/>
    <w:rsid w:val="00F02E56"/>
    <w:rsid w:val="00F04225"/>
    <w:rsid w:val="00F05300"/>
    <w:rsid w:val="00F05C27"/>
    <w:rsid w:val="00F072F1"/>
    <w:rsid w:val="00F11039"/>
    <w:rsid w:val="00F13524"/>
    <w:rsid w:val="00F1491D"/>
    <w:rsid w:val="00F1533C"/>
    <w:rsid w:val="00F15AD2"/>
    <w:rsid w:val="00F15D58"/>
    <w:rsid w:val="00F16C48"/>
    <w:rsid w:val="00F1772E"/>
    <w:rsid w:val="00F21AB4"/>
    <w:rsid w:val="00F225B5"/>
    <w:rsid w:val="00F250CD"/>
    <w:rsid w:val="00F27210"/>
    <w:rsid w:val="00F30709"/>
    <w:rsid w:val="00F3085D"/>
    <w:rsid w:val="00F32F29"/>
    <w:rsid w:val="00F330B4"/>
    <w:rsid w:val="00F37CA4"/>
    <w:rsid w:val="00F4026C"/>
    <w:rsid w:val="00F4081F"/>
    <w:rsid w:val="00F4131B"/>
    <w:rsid w:val="00F4340A"/>
    <w:rsid w:val="00F43D60"/>
    <w:rsid w:val="00F45362"/>
    <w:rsid w:val="00F45DF7"/>
    <w:rsid w:val="00F46347"/>
    <w:rsid w:val="00F4774A"/>
    <w:rsid w:val="00F47CBF"/>
    <w:rsid w:val="00F519C3"/>
    <w:rsid w:val="00F51A36"/>
    <w:rsid w:val="00F52536"/>
    <w:rsid w:val="00F54353"/>
    <w:rsid w:val="00F5454A"/>
    <w:rsid w:val="00F55A18"/>
    <w:rsid w:val="00F55E86"/>
    <w:rsid w:val="00F56B21"/>
    <w:rsid w:val="00F60484"/>
    <w:rsid w:val="00F61334"/>
    <w:rsid w:val="00F64B4B"/>
    <w:rsid w:val="00F64F4B"/>
    <w:rsid w:val="00F7089F"/>
    <w:rsid w:val="00F7094A"/>
    <w:rsid w:val="00F71604"/>
    <w:rsid w:val="00F72899"/>
    <w:rsid w:val="00F7377E"/>
    <w:rsid w:val="00F761DD"/>
    <w:rsid w:val="00F81EF4"/>
    <w:rsid w:val="00F83162"/>
    <w:rsid w:val="00F84AF8"/>
    <w:rsid w:val="00F84B78"/>
    <w:rsid w:val="00F84E29"/>
    <w:rsid w:val="00F87B67"/>
    <w:rsid w:val="00F91404"/>
    <w:rsid w:val="00F933D8"/>
    <w:rsid w:val="00F940E3"/>
    <w:rsid w:val="00F97B59"/>
    <w:rsid w:val="00FA0421"/>
    <w:rsid w:val="00FA1E63"/>
    <w:rsid w:val="00FA216D"/>
    <w:rsid w:val="00FA5178"/>
    <w:rsid w:val="00FA54B8"/>
    <w:rsid w:val="00FA5621"/>
    <w:rsid w:val="00FB01C8"/>
    <w:rsid w:val="00FB07F6"/>
    <w:rsid w:val="00FB0B4F"/>
    <w:rsid w:val="00FB1164"/>
    <w:rsid w:val="00FB1940"/>
    <w:rsid w:val="00FB2C7C"/>
    <w:rsid w:val="00FB584E"/>
    <w:rsid w:val="00FB7983"/>
    <w:rsid w:val="00FB7B90"/>
    <w:rsid w:val="00FC066C"/>
    <w:rsid w:val="00FC1234"/>
    <w:rsid w:val="00FC1814"/>
    <w:rsid w:val="00FC1EBD"/>
    <w:rsid w:val="00FC3489"/>
    <w:rsid w:val="00FC4E0F"/>
    <w:rsid w:val="00FC572F"/>
    <w:rsid w:val="00FC585E"/>
    <w:rsid w:val="00FC5B9E"/>
    <w:rsid w:val="00FC71D7"/>
    <w:rsid w:val="00FC75EA"/>
    <w:rsid w:val="00FC7B3D"/>
    <w:rsid w:val="00FD0CDD"/>
    <w:rsid w:val="00FD1160"/>
    <w:rsid w:val="00FD23B4"/>
    <w:rsid w:val="00FD589F"/>
    <w:rsid w:val="00FD7375"/>
    <w:rsid w:val="00FE2243"/>
    <w:rsid w:val="00FE2C6C"/>
    <w:rsid w:val="00FE2D76"/>
    <w:rsid w:val="00FE3BA0"/>
    <w:rsid w:val="00FE4836"/>
    <w:rsid w:val="00FE4F34"/>
    <w:rsid w:val="00FE5EAF"/>
    <w:rsid w:val="00FE6C3A"/>
    <w:rsid w:val="00FF277A"/>
    <w:rsid w:val="00FF29B6"/>
    <w:rsid w:val="00FF34B0"/>
    <w:rsid w:val="00FF3791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6675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03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link w:val="Heading1Char"/>
    <w:qFormat/>
    <w:rsid w:val="001C0203"/>
    <w:pPr>
      <w:spacing w:after="240"/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link w:val="Heading2Char"/>
    <w:qFormat/>
    <w:locked/>
    <w:rsid w:val="001C0203"/>
    <w:pPr>
      <w:spacing w:after="360"/>
      <w:jc w:val="center"/>
      <w:outlineLvl w:val="1"/>
    </w:pPr>
    <w:rPr>
      <w:b/>
      <w:sz w:val="30"/>
    </w:rPr>
  </w:style>
  <w:style w:type="paragraph" w:styleId="Heading3">
    <w:name w:val="heading 3"/>
    <w:basedOn w:val="HeadingBase"/>
    <w:next w:val="Normal"/>
    <w:link w:val="Heading3Char"/>
    <w:qFormat/>
    <w:rsid w:val="001C0203"/>
    <w:pPr>
      <w:spacing w:before="240" w:after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link w:val="Heading4Char"/>
    <w:qFormat/>
    <w:rsid w:val="001C0203"/>
    <w:pPr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link w:val="Heading5Char"/>
    <w:qFormat/>
    <w:rsid w:val="001C0203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qFormat/>
    <w:locked/>
    <w:rsid w:val="001C020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/>
    <w:locked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/>
    <w:locked/>
    <w:rsid w:val="001C020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76FC6"/>
    <w:rPr>
      <w:rFonts w:ascii="Arial" w:hAnsi="Arial"/>
      <w:b/>
      <w:smallCaps/>
      <w:kern w:val="34"/>
      <w:sz w:val="3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8853C0"/>
    <w:rPr>
      <w:rFonts w:ascii="Arial" w:hAnsi="Arial"/>
      <w:b/>
      <w:sz w:val="3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76FC6"/>
    <w:rPr>
      <w:rFonts w:ascii="Arial" w:hAnsi="Arial"/>
      <w:b/>
      <w:smallCaps/>
      <w:sz w:val="26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876FC6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876FC6"/>
    <w:rPr>
      <w:rFonts w:ascii="Arial" w:hAnsi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853C0"/>
    <w:rPr>
      <w:rFonts w:ascii="Arial" w:hAnsi="Arial"/>
      <w:bCs/>
      <w:sz w:val="20"/>
    </w:rPr>
  </w:style>
  <w:style w:type="character" w:customStyle="1" w:styleId="Heading7Char">
    <w:name w:val="Heading 7 Char"/>
    <w:basedOn w:val="DefaultParagraphFont"/>
    <w:link w:val="Heading7"/>
    <w:locked/>
    <w:rsid w:val="008853C0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8853C0"/>
    <w:rPr>
      <w:i/>
      <w:iCs/>
      <w:sz w:val="16"/>
      <w:szCs w:val="24"/>
    </w:rPr>
  </w:style>
  <w:style w:type="paragraph" w:customStyle="1" w:styleId="SingleParagraph">
    <w:name w:val="Single Paragraph"/>
    <w:basedOn w:val="Normal"/>
    <w:rsid w:val="001C0203"/>
    <w:pPr>
      <w:spacing w:after="0"/>
    </w:pPr>
  </w:style>
  <w:style w:type="paragraph" w:customStyle="1" w:styleId="TableHeading">
    <w:name w:val="Table Heading"/>
    <w:basedOn w:val="HeadingBase"/>
    <w:next w:val="TableGraphic"/>
    <w:rsid w:val="001C0203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1C0203"/>
    <w:pPr>
      <w:numPr>
        <w:numId w:val="1"/>
      </w:numPr>
    </w:pPr>
  </w:style>
  <w:style w:type="paragraph" w:customStyle="1" w:styleId="Dash">
    <w:name w:val="Dash"/>
    <w:basedOn w:val="Normal"/>
    <w:rsid w:val="001C0203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1C0203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1C0203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1C0203"/>
    <w:pPr>
      <w:numPr>
        <w:numId w:val="2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1C0203"/>
    <w:pPr>
      <w:numPr>
        <w:numId w:val="3"/>
      </w:numPr>
    </w:pPr>
  </w:style>
  <w:style w:type="paragraph" w:customStyle="1" w:styleId="ContentsHeading">
    <w:name w:val="Contents Heading"/>
    <w:basedOn w:val="HeadingBase"/>
    <w:next w:val="Normal"/>
    <w:rsid w:val="001C0203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1C0203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1C0203"/>
  </w:style>
  <w:style w:type="paragraph" w:customStyle="1" w:styleId="TableColumnHeadingRight">
    <w:name w:val="Table Column Heading Right"/>
    <w:basedOn w:val="TableColumnHeadingBase"/>
    <w:next w:val="TableTextRight"/>
    <w:rsid w:val="001C0203"/>
    <w:pPr>
      <w:jc w:val="right"/>
    </w:pPr>
  </w:style>
  <w:style w:type="paragraph" w:customStyle="1" w:styleId="TPHeading2">
    <w:name w:val="TP Heading 2"/>
    <w:basedOn w:val="HeadingBase"/>
    <w:rsid w:val="001C0203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1C0203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76FC6"/>
    <w:rPr>
      <w:rFonts w:ascii="Book Antiqua" w:hAnsi="Book Antiqua"/>
      <w:i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1C0203"/>
    <w:rPr>
      <w:b/>
      <w:bCs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1C0203"/>
    <w:rPr>
      <w:i/>
    </w:rPr>
  </w:style>
  <w:style w:type="character" w:styleId="PageNumber">
    <w:name w:val="page number"/>
    <w:basedOn w:val="DefaultParagraphFont"/>
    <w:rsid w:val="001C0203"/>
    <w:rPr>
      <w:rFonts w:ascii="Arial" w:hAnsi="Arial" w:cs="Arial"/>
    </w:rPr>
  </w:style>
  <w:style w:type="table" w:styleId="TableGrid">
    <w:name w:val="Table Grid"/>
    <w:basedOn w:val="TableNormal"/>
    <w:uiPriority w:val="59"/>
    <w:rsid w:val="001C0203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0F5785"/>
    <w:pPr>
      <w:spacing w:before="240"/>
      <w:jc w:val="center"/>
    </w:pPr>
    <w:rPr>
      <w:rFonts w:ascii="Book Antiqua" w:hAnsi="Book Antiqua" w:cs="Book Antiqua"/>
      <w:b/>
      <w:bCs/>
      <w:i/>
      <w:iCs/>
      <w:caps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0F5785"/>
    <w:rPr>
      <w:rFonts w:ascii="Book Antiqua" w:hAnsi="Book Antiqua"/>
      <w:b/>
      <w:bCs/>
      <w:sz w:val="20"/>
      <w:szCs w:val="20"/>
    </w:rPr>
  </w:style>
  <w:style w:type="paragraph" w:customStyle="1" w:styleId="Proformatext">
    <w:name w:val="Pro forma text"/>
    <w:basedOn w:val="Normal"/>
    <w:rsid w:val="001C0203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1C0203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0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47929"/>
    <w:rPr>
      <w:rFonts w:ascii="Book Antiqua" w:hAnsi="Book Antiqua"/>
      <w:b/>
      <w:bCs/>
      <w:sz w:val="20"/>
      <w:szCs w:val="20"/>
    </w:rPr>
  </w:style>
  <w:style w:type="paragraph" w:customStyle="1" w:styleId="ChartHeading">
    <w:name w:val="Chart Heading"/>
    <w:basedOn w:val="HeadingBase"/>
    <w:next w:val="ChartGraphic"/>
    <w:rsid w:val="001C0203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1C0203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1C0203"/>
    <w:pPr>
      <w:numPr>
        <w:numId w:val="5"/>
      </w:numPr>
    </w:pPr>
  </w:style>
  <w:style w:type="paragraph" w:customStyle="1" w:styleId="BoxText">
    <w:name w:val="Box Text"/>
    <w:basedOn w:val="Normal"/>
    <w:rsid w:val="001C0203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1C0203"/>
    <w:pPr>
      <w:numPr>
        <w:numId w:val="6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1C0203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1C0203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1C0203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1C0203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1C0203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1C0203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1C0203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1C0203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1C0203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1C0203"/>
  </w:style>
  <w:style w:type="paragraph" w:customStyle="1" w:styleId="TableTextRight">
    <w:name w:val="Table Text Right"/>
    <w:basedOn w:val="TableTextBase"/>
    <w:rsid w:val="001C0203"/>
    <w:pPr>
      <w:jc w:val="right"/>
    </w:pPr>
  </w:style>
  <w:style w:type="paragraph" w:customStyle="1" w:styleId="TableTextCentred">
    <w:name w:val="Table Text Centred"/>
    <w:basedOn w:val="TableTextBase"/>
    <w:rsid w:val="001C0203"/>
    <w:pPr>
      <w:jc w:val="center"/>
    </w:pPr>
  </w:style>
  <w:style w:type="paragraph" w:customStyle="1" w:styleId="TableTextIndented">
    <w:name w:val="Table Text Indented"/>
    <w:basedOn w:val="TableTextBase"/>
    <w:rsid w:val="001C0203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1C0203"/>
    <w:pPr>
      <w:jc w:val="center"/>
    </w:pPr>
  </w:style>
  <w:style w:type="paragraph" w:customStyle="1" w:styleId="TableColumnHeadingS119pt">
    <w:name w:val="Table Column Heading S11 9 pt"/>
    <w:basedOn w:val="TableColumnHeadingBase"/>
    <w:rsid w:val="001C0203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1C0203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1C0203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1C0203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1C0203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1C0203"/>
  </w:style>
  <w:style w:type="paragraph" w:customStyle="1" w:styleId="HeaderOdd">
    <w:name w:val="Header Odd"/>
    <w:basedOn w:val="HeaderBase"/>
    <w:rsid w:val="001C0203"/>
    <w:pPr>
      <w:jc w:val="right"/>
    </w:pPr>
  </w:style>
  <w:style w:type="paragraph" w:customStyle="1" w:styleId="FooterBase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locked/>
    <w:rsid w:val="008853C0"/>
    <w:rPr>
      <w:rFonts w:ascii="Tahoma" w:hAnsi="Tahoma" w:cs="Tahoma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customStyle="1" w:styleId="EndnoteTextChar">
    <w:name w:val="Endnote Text Char"/>
    <w:basedOn w:val="DefaultParagraphFont"/>
    <w:link w:val="EndnoteText"/>
    <w:locked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/>
    <w:rsid w:val="001C0203"/>
    <w:pPr>
      <w:ind w:left="200" w:hanging="200"/>
    </w:pPr>
  </w:style>
  <w:style w:type="paragraph" w:styleId="Index2">
    <w:name w:val="index 2"/>
    <w:basedOn w:val="Normal"/>
    <w:next w:val="Normal"/>
    <w:autoRedefine/>
    <w:rsid w:val="001C0203"/>
    <w:pPr>
      <w:ind w:left="400" w:hanging="200"/>
    </w:pPr>
  </w:style>
  <w:style w:type="paragraph" w:styleId="Index3">
    <w:name w:val="index 3"/>
    <w:basedOn w:val="Normal"/>
    <w:next w:val="Normal"/>
    <w:autoRedefine/>
    <w:rsid w:val="001C0203"/>
    <w:pPr>
      <w:ind w:left="600" w:hanging="200"/>
    </w:pPr>
  </w:style>
  <w:style w:type="paragraph" w:styleId="Index4">
    <w:name w:val="index 4"/>
    <w:basedOn w:val="Normal"/>
    <w:next w:val="Normal"/>
    <w:autoRedefine/>
    <w:rsid w:val="001C0203"/>
    <w:pPr>
      <w:ind w:left="800" w:hanging="200"/>
    </w:pPr>
  </w:style>
  <w:style w:type="paragraph" w:styleId="Index5">
    <w:name w:val="index 5"/>
    <w:basedOn w:val="Normal"/>
    <w:next w:val="Normal"/>
    <w:autoRedefine/>
    <w:rsid w:val="001C0203"/>
    <w:pPr>
      <w:ind w:left="1000" w:hanging="200"/>
    </w:pPr>
  </w:style>
  <w:style w:type="paragraph" w:styleId="Index6">
    <w:name w:val="index 6"/>
    <w:basedOn w:val="Normal"/>
    <w:next w:val="Normal"/>
    <w:autoRedefine/>
    <w:rsid w:val="001C0203"/>
    <w:pPr>
      <w:ind w:left="1200" w:hanging="200"/>
    </w:pPr>
  </w:style>
  <w:style w:type="paragraph" w:styleId="Index7">
    <w:name w:val="index 7"/>
    <w:basedOn w:val="Normal"/>
    <w:next w:val="Normal"/>
    <w:autoRedefine/>
    <w:rsid w:val="001C0203"/>
    <w:pPr>
      <w:ind w:left="1400" w:hanging="200"/>
    </w:pPr>
  </w:style>
  <w:style w:type="paragraph" w:styleId="Index8">
    <w:name w:val="index 8"/>
    <w:basedOn w:val="Normal"/>
    <w:next w:val="Normal"/>
    <w:autoRedefine/>
    <w:rsid w:val="001C0203"/>
    <w:pPr>
      <w:ind w:left="1600" w:hanging="200"/>
    </w:pPr>
  </w:style>
  <w:style w:type="paragraph" w:styleId="Index9">
    <w:name w:val="index 9"/>
    <w:basedOn w:val="Normal"/>
    <w:next w:val="Normal"/>
    <w:autoRedefine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hAnsi="Arial" w:cs="Arial"/>
      <w:b/>
      <w:bCs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locked/>
    <w:rsid w:val="008853C0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locked/>
    <w:rsid w:val="001C0203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locked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locked/>
    <w:rsid w:val="001C0203"/>
    <w:pPr>
      <w:ind w:left="800"/>
    </w:pPr>
  </w:style>
  <w:style w:type="paragraph" w:styleId="TOC6">
    <w:name w:val="toc 6"/>
    <w:basedOn w:val="Normal"/>
    <w:next w:val="Normal"/>
    <w:autoRedefine/>
    <w:locked/>
    <w:rsid w:val="001C0203"/>
    <w:pPr>
      <w:ind w:left="1000"/>
    </w:pPr>
  </w:style>
  <w:style w:type="paragraph" w:styleId="TOC7">
    <w:name w:val="toc 7"/>
    <w:basedOn w:val="Normal"/>
    <w:next w:val="Normal"/>
    <w:autoRedefine/>
    <w:locked/>
    <w:rsid w:val="001C0203"/>
    <w:pPr>
      <w:ind w:left="1200"/>
    </w:pPr>
  </w:style>
  <w:style w:type="paragraph" w:styleId="TOC8">
    <w:name w:val="toc 8"/>
    <w:basedOn w:val="Normal"/>
    <w:next w:val="Normal"/>
    <w:autoRedefine/>
    <w:locked/>
    <w:rsid w:val="001C0203"/>
    <w:pPr>
      <w:ind w:left="1400"/>
    </w:pPr>
  </w:style>
  <w:style w:type="paragraph" w:styleId="TOC9">
    <w:name w:val="toc 9"/>
    <w:basedOn w:val="Normal"/>
    <w:next w:val="Normal"/>
    <w:autoRedefine/>
    <w:locked/>
    <w:rsid w:val="001C0203"/>
    <w:pPr>
      <w:ind w:left="1600"/>
    </w:pPr>
  </w:style>
  <w:style w:type="character" w:customStyle="1" w:styleId="FramedHeader">
    <w:name w:val="Framed Header"/>
    <w:basedOn w:val="DefaultParagraphFont"/>
    <w:rsid w:val="001C0203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customStyle="1" w:styleId="BlockedQuotation">
    <w:name w:val="Blocked Quotation"/>
    <w:basedOn w:val="Normal"/>
    <w:rsid w:val="001C0203"/>
    <w:pPr>
      <w:ind w:left="567"/>
    </w:pPr>
  </w:style>
  <w:style w:type="paragraph" w:customStyle="1" w:styleId="ChartMainHeading">
    <w:name w:val="Chart Main Heading"/>
    <w:basedOn w:val="Normal"/>
    <w:next w:val="ChartGraphic"/>
    <w:rsid w:val="001C0203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1C0203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097846"/>
    <w:pPr>
      <w:spacing w:after="240"/>
      <w:jc w:val="center"/>
    </w:pPr>
    <w:rPr>
      <w:b/>
      <w:i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97846"/>
    <w:rPr>
      <w:rFonts w:ascii="Book Antiqua" w:hAnsi="Book Antiqua"/>
      <w:b/>
      <w:i/>
      <w:caps/>
      <w:sz w:val="24"/>
      <w:szCs w:val="20"/>
      <w:lang w:val="en-AU" w:eastAsia="en-AU" w:bidi="ar-SA"/>
    </w:rPr>
  </w:style>
  <w:style w:type="character" w:customStyle="1" w:styleId="DoubleDotChar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customStyle="1" w:styleId="CABNETList1">
    <w:name w:val="CABNET List1"/>
    <w:rsid w:val="00821CEA"/>
    <w:pPr>
      <w:numPr>
        <w:numId w:val="21"/>
      </w:numPr>
    </w:pPr>
  </w:style>
  <w:style w:type="character" w:customStyle="1" w:styleId="BulletChar">
    <w:name w:val="Bullet Char"/>
    <w:basedOn w:val="DefaultParagraphFont"/>
    <w:link w:val="Bullet"/>
    <w:rsid w:val="00BC1DF0"/>
    <w:rPr>
      <w:rFonts w:ascii="Book Antiqua" w:hAnsi="Book Antiqua"/>
    </w:rPr>
  </w:style>
  <w:style w:type="paragraph" w:customStyle="1" w:styleId="OutlineNumbered1">
    <w:name w:val="Outline Numbered 1"/>
    <w:basedOn w:val="Normal"/>
    <w:rsid w:val="009F3476"/>
    <w:pPr>
      <w:numPr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9F3476"/>
    <w:pPr>
      <w:numPr>
        <w:ilvl w:val="1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9F3476"/>
    <w:pPr>
      <w:numPr>
        <w:ilvl w:val="2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9F3476"/>
    <w:rPr>
      <w:rFonts w:ascii="Calibri" w:eastAsia="Calibri" w:hAnsi="Calibri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D3DB3"/>
    <w:rPr>
      <w:rFonts w:ascii="Book Antiqua" w:hAnsi="Book Antiqua"/>
    </w:rPr>
  </w:style>
  <w:style w:type="paragraph" w:customStyle="1" w:styleId="measure-title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3F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C3E"/>
    <w:rPr>
      <w:color w:val="800080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5E1308"/>
    <w:rPr>
      <w:b/>
      <w:szCs w:val="24"/>
    </w:rPr>
  </w:style>
  <w:style w:type="character" w:customStyle="1" w:styleId="TextChar">
    <w:name w:val="Text Char"/>
    <w:basedOn w:val="DefaultParagraphFont"/>
    <w:link w:val="Text"/>
    <w:rsid w:val="005E1308"/>
    <w:rPr>
      <w:rFonts w:ascii="Verdana" w:eastAsiaTheme="minorHAnsi" w:hAnsi="Verdana" w:cstheme="minorBidi"/>
      <w:lang w:eastAsia="en-US"/>
    </w:rPr>
  </w:style>
  <w:style w:type="character" w:customStyle="1" w:styleId="HeadingsChar">
    <w:name w:val="Headings Char"/>
    <w:basedOn w:val="TextChar"/>
    <w:link w:val="Headings"/>
    <w:rsid w:val="005E1308"/>
    <w:rPr>
      <w:rFonts w:ascii="Verdana" w:eastAsiaTheme="minorHAnsi" w:hAnsi="Verdana" w:cstheme="minorBidi"/>
      <w:b/>
      <w:szCs w:val="24"/>
      <w:lang w:eastAsia="en-US"/>
    </w:rPr>
  </w:style>
  <w:style w:type="paragraph" w:customStyle="1" w:styleId="Table-RowHeadings">
    <w:name w:val="Table - Row Headings"/>
    <w:basedOn w:val="Normal"/>
    <w:link w:val="Table-RowHeadings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5E1308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5E1308"/>
    <w:rPr>
      <w:rFonts w:ascii="Verdana" w:eastAsiaTheme="minorHAnsi" w:hAnsi="Verdana" w:cstheme="minorBidi"/>
      <w:lang w:eastAsia="en-US"/>
    </w:rPr>
  </w:style>
  <w:style w:type="paragraph" w:customStyle="1" w:styleId="Tablefigures">
    <w:name w:val="Table figures"/>
    <w:basedOn w:val="Normal"/>
    <w:link w:val="TablefiguresChar"/>
    <w:qFormat/>
    <w:rsid w:val="005E1308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5E1308"/>
    <w:rPr>
      <w:rFonts w:ascii="Verdana" w:eastAsiaTheme="minorHAnsi" w:hAnsi="Verdana" w:cstheme="minorBidi"/>
      <w:lang w:eastAsia="en-US"/>
    </w:rPr>
  </w:style>
  <w:style w:type="character" w:customStyle="1" w:styleId="TablefiguresChar">
    <w:name w:val="Table figures Char"/>
    <w:basedOn w:val="DefaultParagraphFont"/>
    <w:link w:val="Tablefigures"/>
    <w:rsid w:val="005E1308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Notes">
    <w:name w:val="Notes"/>
    <w:basedOn w:val="ChartandTableFootnoteAlpha"/>
    <w:link w:val="NotesChar"/>
    <w:qFormat/>
    <w:rsid w:val="005E1308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customStyle="1" w:styleId="PageHeading">
    <w:name w:val="Page Heading"/>
    <w:basedOn w:val="Normal"/>
    <w:qFormat/>
    <w:rsid w:val="005E1308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5E1308"/>
    <w:rPr>
      <w:rFonts w:ascii="Verdana" w:eastAsiaTheme="minorHAnsi" w:hAnsi="Verdana" w:cstheme="minorBidi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 Policy and Coordination</TermName>
          <TermId xmlns="http://schemas.microsoft.com/office/infopath/2007/PartnerControls">17ee49bf-b5ad-4a1d-82f9-550fc395193a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06f25368-99a9-4d72-b586-c08ad003de0b">FIN33527-1747701680-103104</_dlc_DocId>
    <_dlc_DocIdUrl xmlns="06f25368-99a9-4d72-b586-c08ad003de0b">
      <Url>https://f1.prdmgd.finance.gov.au/sites/50033527/_layouts/15/DocIdRedir.aspx?ID=FIN33527-1747701680-103104</Url>
      <Description>FIN33527-1747701680-103104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CBB09F3E7419694A957E1A5A78204E4D" ma:contentTypeVersion="184" ma:contentTypeDescription="Create a new document." ma:contentTypeScope="" ma:versionID="6718d0d96d90040068238bb7e07b49a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06f25368-99a9-4d72-b586-c08ad003de0b" targetNamespace="http://schemas.microsoft.com/office/2006/metadata/properties" ma:root="true" ma:fieldsID="1bbee582323605d5035a966cceb70fd5" ns1:_="" ns2:_="" ns3:_="">
    <xsd:import namespace="http://schemas.microsoft.com/sharepoint/v3"/>
    <xsd:import namespace="82ff9d9b-d3fc-4aad-bc42-9949ee83b815"/>
    <xsd:import namespace="06f25368-99a9-4d72-b586-c08ad003de0b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69c4831-fe9b-4d8e-89c7-36409b187116}" ma:internalName="TaxCatchAll" ma:showField="CatchAllData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69c4831-fe9b-4d8e-89c7-36409b187116}" ma:internalName="TaxCatchAllLabel" ma:readOnly="true" ma:showField="CatchAllDataLabel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5368-99a9-4d72-b586-c08ad003de0b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Props1.xml><?xml version="1.0" encoding="utf-8"?>
<ds:datastoreItem xmlns:ds="http://schemas.openxmlformats.org/officeDocument/2006/customXml" ds:itemID="{B9849258-2414-4D8D-B213-0181BB45B7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1D2AB9-2ADD-4AF4-AD5A-8F5E37E61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85039-092C-4B09-8C15-4BFAC4650A5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6f25368-99a9-4d72-b586-c08ad003de0b"/>
    <ds:schemaRef ds:uri="http://purl.org/dc/terms/"/>
    <ds:schemaRef ds:uri="82ff9d9b-d3fc-4aad-bc42-9949ee83b815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DE3B9D-6118-4779-8FF8-28EF5DAC9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06f25368-99a9-4d72-b586-c08ad003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BDC0FE-7CEA-4E31-8D43-6E3BB0FDE01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release of costing - pro forma</vt:lpstr>
    </vt:vector>
  </TitlesOfParts>
  <Company/>
  <LinksUpToDate>false</LinksUpToDate>
  <CharactersWithSpaces>3503</CharactersWithSpaces>
  <SharedDoc>false</SharedDoc>
  <HLinks>
    <vt:vector size="30" baseType="variant">
      <vt:variant>
        <vt:i4>6291552</vt:i4>
      </vt:variant>
      <vt:variant>
        <vt:i4>12</vt:i4>
      </vt:variant>
      <vt:variant>
        <vt:i4>0</vt:i4>
      </vt:variant>
      <vt:variant>
        <vt:i4>5</vt:i4>
      </vt:variant>
      <vt:variant>
        <vt:lpwstr>see www.itsanhonour.gov.au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release of costing - pro forma</dc:title>
  <dc:subject/>
  <dc:creator/>
  <cp:keywords/>
  <cp:lastModifiedBy/>
  <cp:revision>1</cp:revision>
  <dcterms:created xsi:type="dcterms:W3CDTF">2022-05-16T01:09:00Z</dcterms:created>
  <dcterms:modified xsi:type="dcterms:W3CDTF">2022-05-16T01:10:00Z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0x010100B321FEA60C5BA343A52BC94EC00ABC9E0700CBB09F3E7419694A957E1A5A78204E4D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1;#Budget Policy and Coordination|17ee49bf-b5ad-4a1d-82f9-550fc395193a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05067260-1f7b-415e-ae49-96f84e83c5ba</vt:lpwstr>
  </property>
  <property fmtid="{D5CDD505-2E9C-101B-9397-08002B2CF9AE}" pid="9" name="g30b6d601f624994bd5004651b59f186">
    <vt:lpwstr/>
  </property>
  <property fmtid="{D5CDD505-2E9C-101B-9397-08002B2CF9AE}" pid="10" name="DocumentType">
    <vt:lpwstr/>
  </property>
</Properties>
</file>