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1"/>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Pro-forma request for costing an election commitment</w:t>
      </w:r>
      <w:r w:rsidDel="00000000" w:rsidR="00000000" w:rsidRPr="00000000">
        <w:rPr>
          <w:vertAlign w:val="superscript"/>
        </w:rPr>
        <w:footnoteReference w:customMarkFollows="0" w:id="0"/>
      </w:r>
      <w:r w:rsidDel="00000000" w:rsidR="00000000" w:rsidRPr="00000000">
        <w:rPr>
          <w:rtl w:val="0"/>
        </w:rPr>
        <w:t xml:space="preserve"> </w:t>
      </w:r>
    </w:p>
    <w:tbl>
      <w:tblPr>
        <w:tblStyle w:val="Table1"/>
        <w:tblW w:w="7704.000000000001" w:type="dxa"/>
        <w:jc w:val="left"/>
        <w:tblInd w:w="0.0" w:type="dxa"/>
        <w:tblBorders>
          <w:top w:color="c0c0c0" w:space="0" w:sz="2" w:val="single"/>
          <w:left w:color="c0c0c0" w:space="0" w:sz="2" w:val="single"/>
          <w:bottom w:color="c0c0c0" w:space="0" w:sz="2" w:val="single"/>
          <w:right w:color="c0c0c0" w:space="0" w:sz="2" w:val="single"/>
          <w:insideH w:color="c0c0c0" w:space="0" w:sz="2" w:val="single"/>
          <w:insideV w:color="c0c0c0" w:space="0" w:sz="2" w:val="single"/>
        </w:tblBorders>
        <w:tblLayout w:type="fixed"/>
        <w:tblLook w:val="0000"/>
      </w:tblPr>
      <w:tblGrid>
        <w:gridCol w:w="4391"/>
        <w:gridCol w:w="3313"/>
        <w:tblGridChange w:id="0">
          <w:tblGrid>
            <w:gridCol w:w="4391"/>
            <w:gridCol w:w="3313"/>
          </w:tblGrid>
        </w:tblGridChange>
      </w:tblGrid>
      <w:tr>
        <w:trPr>
          <w:cantSplit w:val="0"/>
          <w:tblHeader w:val="0"/>
        </w:trPr>
        <w:tc>
          <w:tcPr>
            <w:shd w:fill="e6e6e6" w:val="clear"/>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 of policy</w:t>
            </w:r>
          </w:p>
        </w:tc>
        <w:tc>
          <w:tcPr>
            <w:shd w:fill="e6e6e6" w:val="clear"/>
          </w:tcPr>
          <w:p w:rsidR="00000000" w:rsidDel="00000000" w:rsidP="00000000" w:rsidRDefault="00000000" w:rsidRPr="00000000" w14:paraId="00000004">
            <w:pPr>
              <w:pStyle w:val="Heading5"/>
              <w:rPr>
                <w:sz w:val="22"/>
                <w:szCs w:val="22"/>
              </w:rPr>
            </w:pPr>
            <w:r w:rsidDel="00000000" w:rsidR="00000000" w:rsidRPr="00000000">
              <w:rPr>
                <w:sz w:val="22"/>
                <w:szCs w:val="22"/>
                <w:rtl w:val="0"/>
              </w:rPr>
              <w:t xml:space="preserve">Super Home Buyer Scheme and Downsizer Contributions</w:t>
            </w:r>
            <w:r w:rsidDel="00000000" w:rsidR="00000000" w:rsidRPr="00000000">
              <w:rPr>
                <w:rtl w:val="0"/>
              </w:rPr>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 requesting costing (Prime Minister/Leader of the Opposition/Leader of a minority party):</w:t>
            </w:r>
          </w:p>
        </w:tc>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Prime Minister</w:t>
            </w: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public release of policy:</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15 May 2022.</w:t>
            </w:r>
            <w:r w:rsidDel="00000000" w:rsidR="00000000" w:rsidRPr="00000000">
              <w:rPr>
                <w:rtl w:val="0"/>
              </w:rPr>
            </w:r>
          </w:p>
        </w:tc>
      </w:tr>
      <w:tr>
        <w:trPr>
          <w:cantSplit w:val="0"/>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to the publicly released policy:</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sz w:val="22"/>
                <w:szCs w:val="22"/>
              </w:rPr>
            </w:pPr>
            <w:hyperlink r:id="rId8">
              <w:r w:rsidDel="00000000" w:rsidR="00000000" w:rsidRPr="00000000">
                <w:rPr>
                  <w:color w:val="1155cc"/>
                  <w:sz w:val="22"/>
                  <w:szCs w:val="22"/>
                  <w:u w:val="single"/>
                  <w:rtl w:val="0"/>
                </w:rPr>
                <w:t xml:space="preserve">https://www.liberal.org.au/latest-news/2022/05/15/harnessing-super-realise-australian-dream-home-ownership</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sz w:val="22"/>
                <w:szCs w:val="22"/>
              </w:rPr>
            </w:pPr>
            <w:hyperlink r:id="rId9">
              <w:r w:rsidDel="00000000" w:rsidR="00000000" w:rsidRPr="00000000">
                <w:rPr>
                  <w:color w:val="1155cc"/>
                  <w:sz w:val="22"/>
                  <w:szCs w:val="22"/>
                  <w:u w:val="single"/>
                  <w:rtl w:val="0"/>
                </w:rPr>
                <w:t xml:space="preserve">https://www.liberal.org.au/latest-news/2022/05/15/housing-supply-boost-greater-financial-choice-empty-nesters-and-pensioners</w:t>
              </w:r>
            </w:hyperlink>
            <w:r w:rsidDel="00000000" w:rsidR="00000000" w:rsidRPr="00000000">
              <w:rPr>
                <w:rtl w:val="0"/>
              </w:rPr>
            </w:r>
          </w:p>
        </w:tc>
      </w:tr>
      <w:tr>
        <w:trPr>
          <w:cantSplit w:val="0"/>
          <w:trHeight w:val="375.93424479166663"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request to cost the policy:</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16 May 2022.</w:t>
            </w: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Summary of policy (please attach copies of relevant policy documents):</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Coalition will establish the Super Home Buyer Scheme to enable first home buyers to release a portion of their superannuation as a contribution towards a deposit for a home.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Please see detail attached.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Coalition will also reduce the eligibility age for downsizer contributions into superannuation from 60 to 55 years of age.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downsizer contribution allows people to make a one-off, post-tax contribution to their superannuation of up to $300,000 per person from the proceeds of selling their home.  Both members of a couple can contribute in respect of the same home, and contributions do not count towards non-concessional contributions caps.</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Intention of policy:</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Coalition is committed to ensuring Australians get into their first home earlier.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Coalition is committed to incentivising downsizing to free up supply of larger family homes.</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Certification that this, or a substantially similar costing request, has not been submitted to the Parliamentary Budget Office:</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or a substantially similar costing request has not been submitted to the Parliamentary Budget Office.</w:t>
            </w:r>
          </w:p>
        </w:tc>
      </w:tr>
      <w:tr>
        <w:trPr>
          <w:cantSplit w:val="0"/>
          <w:tblHeader w:val="0"/>
        </w:trPr>
        <w:tc>
          <w:tcPr>
            <w:gridSpan w:val="2"/>
            <w:shd w:fill="e6e6e6" w:val="clear"/>
          </w:tcPr>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tc>
      </w:tr>
      <w:tr>
        <w:trPr>
          <w:cantSplit w:val="0"/>
          <w:trHeight w:val="975" w:hRule="atLeast"/>
          <w:tblHeader w:val="0"/>
        </w:trPr>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policy part of a package?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and outline components and interactions with proposed or existing policies.</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No.</w:t>
            </w: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relevant, is funding for the policy to be demand driven or a capped amount?</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Demand driven program with capped funding for departmental expenses.</w:t>
            </w:r>
            <w:r w:rsidDel="00000000" w:rsidR="00000000" w:rsidRPr="00000000">
              <w:rPr>
                <w:rtl w:val="0"/>
              </w:rPr>
            </w:r>
          </w:p>
        </w:tc>
      </w:tr>
      <w:tr>
        <w:trPr>
          <w:cantSplit w:val="0"/>
          <w:trHeight w:val="1710" w:hRule="atLeast"/>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third parties (for instance the States/Territories) have a role in funding or delivering the policy?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is the Australian Government contribution capped, with additional costs to be met by third parties, or is another funding formula envisaged?</w:t>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Not applicable.</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associated savings, offsets or expenses?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provide details.</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Not applicable.</w:t>
            </w:r>
            <w:r w:rsidDel="00000000" w:rsidR="00000000" w:rsidRPr="00000000">
              <w:rPr>
                <w:rtl w:val="0"/>
              </w:rPr>
            </w:r>
          </w:p>
        </w:tc>
      </w:tr>
      <w:tr>
        <w:trPr>
          <w:cantSplit w:val="0"/>
          <w:trHeight w:val="675" w:hRule="atLeast"/>
          <w:tblHeader w:val="0"/>
        </w:trPr>
        <w:tc>
          <w:tcPr>
            <w:gridSpan w:val="2"/>
            <w:tcBorders>
              <w:top w:color="000000" w:space="0" w:sz="0" w:val="nil"/>
            </w:tcBorders>
            <w:shd w:fill="d9d9d9" w:val="clear"/>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policy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where the request to cost a proposal differs from the announced policy, the costing will be on the basis of information provided in the costing request) </w:t>
            </w: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are the key assumptions that have been made in the policy including:</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(continued)</w:t>
            </w:r>
          </w:p>
        </w:tc>
      </w:tr>
      <w:tr>
        <w:trPr>
          <w:cantSplit w:val="0"/>
          <w:trHeight w:val="675" w:hRule="atLeast"/>
          <w:tblHeader w:val="0"/>
        </w:trPr>
        <w:tc>
          <w:tcPr>
            <w:tcBorders>
              <w:top w:color="000000" w:space="0" w:sz="0" w:val="nil"/>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policy relate to a previous budget measure?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which measure?</w:t>
            </w:r>
          </w:p>
        </w:tc>
        <w:tc>
          <w:tcPr>
            <w:tcBorders>
              <w:top w:color="000000" w:space="0" w:sz="0" w:val="nil"/>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Yes, reducing the eligibility age for downsizer contributions relates to the 2021-22 Budget measure </w:t>
            </w:r>
            <w:r w:rsidDel="00000000" w:rsidR="00000000" w:rsidRPr="00000000">
              <w:rPr>
                <w:rFonts w:ascii="Calibri" w:cs="Calibri" w:eastAsia="Calibri" w:hAnsi="Calibri"/>
                <w:i w:val="1"/>
                <w:sz w:val="22"/>
                <w:szCs w:val="22"/>
                <w:rtl w:val="0"/>
              </w:rPr>
              <w:t xml:space="preserve">Flexible Super - reducing the eligibility age for downsizer contributions.</w:t>
            </w:r>
          </w:p>
        </w:tc>
      </w:tr>
      <w:tr>
        <w:trPr>
          <w:cantSplit w:val="1"/>
          <w:trHeight w:val="1500" w:hRule="atLeast"/>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proposal would change an existing measure, are savings expected from the departmental costs of implementing the program? Will funding/cost require indexation?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list factors used.</w:t>
            </w:r>
          </w:p>
        </w:tc>
        <w:tc>
          <w:tcPr/>
          <w:p w:rsidR="00000000" w:rsidDel="00000000" w:rsidP="00000000" w:rsidRDefault="00000000" w:rsidRPr="00000000" w14:paraId="0000002F">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w:t>
            </w:r>
            <w:r w:rsidDel="00000000" w:rsidR="00000000" w:rsidRPr="00000000">
              <w:rPr>
                <w:rtl w:val="0"/>
              </w:rPr>
            </w:r>
          </w:p>
        </w:tc>
      </w:tr>
      <w:tr>
        <w:trPr>
          <w:cantSplit w:val="1"/>
          <w:trHeight w:val="690"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estimated costs each year? Are these provided on a cash or fiscal basis?</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2022-23 $100.0 million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2023-24 $68.2 million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2024-25 $72.5 million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2025-26 $80.3 million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Cash basis.</w:t>
            </w:r>
            <w:r w:rsidDel="00000000" w:rsidR="00000000" w:rsidRPr="00000000">
              <w:rPr>
                <w:rtl w:val="0"/>
              </w:rPr>
            </w:r>
          </w:p>
        </w:tc>
      </w:tr>
      <w:tr>
        <w:trPr>
          <w:cantSplit w:val="1"/>
          <w:trHeight w:val="999" w:hRule="atLeast"/>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 revenue and/or expense costs likely to be significantly different beyond the forward estimates period?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why?</w:t>
            </w:r>
          </w:p>
        </w:tc>
        <w:tc>
          <w:tcPr/>
          <w:p w:rsidR="00000000" w:rsidDel="00000000" w:rsidP="00000000" w:rsidRDefault="00000000" w:rsidRPr="00000000" w14:paraId="00000038">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w:t>
            </w:r>
            <w:r w:rsidDel="00000000" w:rsidR="00000000" w:rsidRPr="00000000">
              <w:rPr>
                <w:rtl w:val="0"/>
              </w:rPr>
            </w:r>
          </w:p>
        </w:tc>
      </w:tr>
      <w:tr>
        <w:trPr>
          <w:cantSplit w:val="1"/>
          <w:trHeight w:val="117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assumptions have been made in deriving the expected financial impact in the party costing (please provide information on the data sources used to develop the policy)?</w:t>
            </w:r>
          </w:p>
        </w:tc>
        <w:tc>
          <w:tcPr/>
          <w:p w:rsidR="00000000" w:rsidDel="00000000" w:rsidP="00000000" w:rsidRDefault="00000000" w:rsidRPr="00000000" w14:paraId="0000003A">
            <w:pPr>
              <w:pStyle w:val="Heading5"/>
              <w:rPr>
                <w:sz w:val="22"/>
                <w:szCs w:val="22"/>
                <w:u w:val="single"/>
              </w:rPr>
            </w:pPr>
            <w:r w:rsidDel="00000000" w:rsidR="00000000" w:rsidRPr="00000000">
              <w:rPr>
                <w:rFonts w:ascii="Calibri" w:cs="Calibri" w:eastAsia="Calibri" w:hAnsi="Calibri"/>
                <w:b w:val="0"/>
                <w:sz w:val="22"/>
                <w:szCs w:val="22"/>
                <w:u w:val="single"/>
                <w:rtl w:val="0"/>
              </w:rPr>
              <w:t xml:space="preserve">Please see detail attached.</w:t>
            </w:r>
            <w:r w:rsidDel="00000000" w:rsidR="00000000" w:rsidRPr="00000000">
              <w:rPr>
                <w:rtl w:val="0"/>
              </w:rPr>
            </w:r>
          </w:p>
        </w:tc>
      </w:tr>
      <w:tr>
        <w:trPr>
          <w:cantSplit w:val="1"/>
          <w:trHeight w:val="915"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policy been costed by a third party?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can you provide a copy of this costing and its assumptions?</w:t>
            </w:r>
          </w:p>
        </w:tc>
        <w:tc>
          <w:tcPr/>
          <w:p w:rsidR="00000000" w:rsidDel="00000000" w:rsidP="00000000" w:rsidRDefault="00000000" w:rsidRPr="00000000" w14:paraId="0000003D">
            <w:pPr>
              <w:pStyle w:val="Heading5"/>
              <w:rPr>
                <w:sz w:val="22"/>
                <w:szCs w:val="22"/>
              </w:rPr>
            </w:pPr>
            <w:r w:rsidDel="00000000" w:rsidR="00000000" w:rsidRPr="00000000">
              <w:rPr>
                <w:rFonts w:ascii="Calibri" w:cs="Calibri" w:eastAsia="Calibri" w:hAnsi="Calibri"/>
                <w:b w:val="0"/>
                <w:sz w:val="22"/>
                <w:szCs w:val="22"/>
                <w:rtl w:val="0"/>
              </w:rPr>
              <w:t xml:space="preserve">No.</w:t>
            </w:r>
            <w:r w:rsidDel="00000000" w:rsidR="00000000" w:rsidRPr="00000000">
              <w:rPr>
                <w:rtl w:val="0"/>
              </w:rPr>
            </w:r>
          </w:p>
        </w:tc>
      </w:tr>
      <w:tr>
        <w:trPr>
          <w:cantSplit w:val="1"/>
          <w:trHeight w:val="2207"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expected community impact of the policy?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people or businesses will be affected by the policy?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likely take up?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basis for these impact assessments/assumptions?</w:t>
            </w:r>
          </w:p>
        </w:tc>
        <w:tc>
          <w:tcPr/>
          <w:p w:rsidR="00000000" w:rsidDel="00000000" w:rsidP="00000000" w:rsidRDefault="00000000" w:rsidRPr="00000000" w14:paraId="00000042">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Coalition is committed to ensuring Australians get into their first home earlier.</w:t>
            </w:r>
          </w:p>
          <w:p w:rsidR="00000000" w:rsidDel="00000000" w:rsidP="00000000" w:rsidRDefault="00000000" w:rsidRPr="00000000" w14:paraId="00000043">
            <w:pPr>
              <w:spacing w:after="0" w:line="240" w:lineRule="auto"/>
              <w:rPr/>
            </w:pPr>
            <w:r w:rsidDel="00000000" w:rsidR="00000000" w:rsidRPr="00000000">
              <w:rPr>
                <w:rFonts w:ascii="Calibri" w:cs="Calibri" w:eastAsia="Calibri" w:hAnsi="Calibri"/>
                <w:sz w:val="22"/>
                <w:szCs w:val="22"/>
                <w:rtl w:val="0"/>
              </w:rPr>
              <w:t xml:space="preserve">The Coalition is committed to incentivising downsizing to free up supply of larger family homes.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it will be up to the professional judgment of the relevant Secretary as to whether these assumptions are adopted in a Treasury or Finance costing of the policy.</w:t>
            </w:r>
          </w:p>
        </w:tc>
      </w:tr>
      <w:tr>
        <w:trPr>
          <w:cantSplit w:val="0"/>
          <w:tblHeader w:val="0"/>
        </w:trPr>
        <w:tc>
          <w:tcPr>
            <w:shd w:fill="e6e6e6" w:val="clear"/>
          </w:tcPr>
          <w:p w:rsidR="00000000" w:rsidDel="00000000" w:rsidP="00000000" w:rsidRDefault="00000000" w:rsidRPr="00000000" w14:paraId="0000004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Administration of policy</w:t>
            </w:r>
          </w:p>
        </w:tc>
        <w:tc>
          <w:tcPr>
            <w:shd w:fill="e6e6e6" w:val="clear"/>
          </w:tcPr>
          <w:p w:rsidR="00000000" w:rsidDel="00000000" w:rsidP="00000000" w:rsidRDefault="00000000" w:rsidRPr="00000000" w14:paraId="00000047">
            <w:pPr>
              <w:pStyle w:val="Heading5"/>
              <w:rPr>
                <w:rFonts w:ascii="Calibri" w:cs="Calibri" w:eastAsia="Calibri" w:hAnsi="Calibri"/>
                <w:sz w:val="22"/>
                <w:szCs w:val="22"/>
              </w:rPr>
            </w:pPr>
            <w:r w:rsidDel="00000000" w:rsidR="00000000" w:rsidRPr="00000000">
              <w:rPr>
                <w:rtl w:val="0"/>
              </w:rPr>
            </w:r>
          </w:p>
        </w:tc>
      </w:tr>
      <w:tr>
        <w:trPr>
          <w:cantSplit w:val="0"/>
          <w:trHeight w:val="932" w:hRule="atLeast"/>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will administer the policy (for example, Australian Government entity, the States, non-government organisation, etc.)?</w:t>
            </w:r>
          </w:p>
        </w:tc>
        <w:tc>
          <w:tcPr/>
          <w:p w:rsidR="00000000" w:rsidDel="00000000" w:rsidP="00000000" w:rsidRDefault="00000000" w:rsidRPr="00000000" w14:paraId="00000049">
            <w:pPr>
              <w:pStyle w:val="Heading5"/>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Australian Taxation Office (ATO).</w:t>
            </w:r>
            <w:r w:rsidDel="00000000" w:rsidR="00000000" w:rsidRPr="00000000">
              <w:rPr>
                <w:rtl w:val="0"/>
              </w:rPr>
            </w:r>
          </w:p>
        </w:tc>
      </w:tr>
      <w:tr>
        <w:trPr>
          <w:cantSplit w:val="0"/>
          <w:trHeight w:val="2831"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departmental expenses associated with this policy be included in this costing?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no, will the Australian Government Entity be expected to absorb expenses associated with this policy?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283" w:right="0" w:hanging="283"/>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If yes, please specify the key assumptions, including whether departmental costs are expected with respect to program management (by policy agencies) and additional transactions/processing (by service delivery agencies).</w:t>
            </w:r>
          </w:p>
        </w:tc>
        <w:tc>
          <w:tcPr/>
          <w:p w:rsidR="00000000" w:rsidDel="00000000" w:rsidP="00000000" w:rsidRDefault="00000000" w:rsidRPr="00000000" w14:paraId="0000004D">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Yes. The ATO’s departmental and capital costs have been included in the estimated costs.  Any additional departmental and capital costs above this estimate are to be absorbed by the ATO.</w:t>
            </w:r>
          </w:p>
          <w:p w:rsidR="00000000" w:rsidDel="00000000" w:rsidP="00000000" w:rsidRDefault="00000000" w:rsidRPr="00000000" w14:paraId="0000004E">
            <w:pPr>
              <w:spacing w:after="0" w:line="240" w:lineRule="auto"/>
              <w:rPr/>
            </w:pPr>
            <w:r w:rsidDel="00000000" w:rsidR="00000000" w:rsidRPr="00000000">
              <w:rPr>
                <w:rFonts w:ascii="Calibri" w:cs="Calibri" w:eastAsia="Calibri" w:hAnsi="Calibri"/>
                <w:sz w:val="22"/>
                <w:szCs w:val="22"/>
                <w:rtl w:val="0"/>
              </w:rPr>
              <w:t xml:space="preserve">The Department of Treasury is to absorb all departmental expenses related to policy development.</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Intended date of implementation.</w:t>
            </w:r>
          </w:p>
        </w:tc>
        <w:tc>
          <w:tcPr/>
          <w:p w:rsidR="00000000" w:rsidDel="00000000" w:rsidP="00000000" w:rsidRDefault="00000000" w:rsidRPr="00000000" w14:paraId="00000050">
            <w:pPr>
              <w:pStyle w:val="Heading5"/>
              <w:ind w:left="0" w:firstLine="0"/>
              <w:rPr>
                <w:rFonts w:ascii="Calibri" w:cs="Calibri" w:eastAsia="Calibri" w:hAnsi="Calibri"/>
                <w:b w:val="0"/>
                <w:sz w:val="22"/>
                <w:szCs w:val="22"/>
                <w:highlight w:val="white"/>
              </w:rPr>
            </w:pPr>
            <w:r w:rsidDel="00000000" w:rsidR="00000000" w:rsidRPr="00000000">
              <w:rPr>
                <w:rFonts w:ascii="Calibri" w:cs="Calibri" w:eastAsia="Calibri" w:hAnsi="Calibri"/>
                <w:b w:val="0"/>
                <w:sz w:val="22"/>
                <w:szCs w:val="22"/>
                <w:highlight w:val="white"/>
                <w:rtl w:val="0"/>
              </w:rPr>
              <w:t xml:space="preserve">The Super Home Buyer Scheme will be operational no later than 1 July 2023.</w:t>
            </w:r>
          </w:p>
          <w:p w:rsidR="00000000" w:rsidDel="00000000" w:rsidP="00000000" w:rsidRDefault="00000000" w:rsidRPr="00000000" w14:paraId="00000051">
            <w:pPr>
              <w:spacing w:after="80" w:before="80"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reduction of the eligibility age for downsizer contributions into superannuation from 60 to 55 years of age will be from 1 July 2022.</w:t>
            </w:r>
          </w:p>
          <w:p w:rsidR="00000000" w:rsidDel="00000000" w:rsidP="00000000" w:rsidRDefault="00000000" w:rsidRPr="00000000" w14:paraId="00000052">
            <w:pPr>
              <w:spacing w:after="0" w:line="240" w:lineRule="auto"/>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transitional arrangements associated with policy implementation?</w:t>
            </w:r>
          </w:p>
        </w:tc>
        <w:tc>
          <w:tcPr/>
          <w:p w:rsidR="00000000" w:rsidDel="00000000" w:rsidP="00000000" w:rsidRDefault="00000000" w:rsidRPr="00000000" w14:paraId="00000054">
            <w:pPr>
              <w:pStyle w:val="Heading5"/>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No.</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the policy be ongoing or terminating*?</w:t>
            </w:r>
          </w:p>
        </w:tc>
        <w:tc>
          <w:tcPr/>
          <w:p w:rsidR="00000000" w:rsidDel="00000000" w:rsidP="00000000" w:rsidRDefault="00000000" w:rsidRPr="00000000" w14:paraId="00000056">
            <w:pPr>
              <w:pStyle w:val="Heading5"/>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Ongoing.</w:t>
            </w: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terminating: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intended date of termination?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transitional arrangements associated with the conclusion of the policy?</w:t>
            </w:r>
          </w:p>
        </w:tc>
        <w:tc>
          <w:tcPr/>
          <w:p w:rsidR="00000000" w:rsidDel="00000000" w:rsidP="00000000" w:rsidRDefault="00000000" w:rsidRPr="00000000" w14:paraId="0000005A">
            <w:pPr>
              <w:pStyle w:val="Heading5"/>
              <w:rPr>
                <w:rFonts w:ascii="Calibri" w:cs="Calibri" w:eastAsia="Calibri" w:hAnsi="Calibri"/>
                <w:sz w:val="22"/>
                <w:szCs w:val="22"/>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major data sources utilised to develop policy (for example, ABS cat. no. 3201.0).</w:t>
            </w:r>
          </w:p>
        </w:tc>
        <w:tc>
          <w:tcPr/>
          <w:p w:rsidR="00000000" w:rsidDel="00000000" w:rsidP="00000000" w:rsidRDefault="00000000" w:rsidRPr="00000000" w14:paraId="0000005C">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other assumptions that need to be considered?</w:t>
            </w:r>
          </w:p>
        </w:tc>
        <w:tc>
          <w:tcPr/>
          <w:p w:rsidR="00000000" w:rsidDel="00000000" w:rsidP="00000000" w:rsidRDefault="00000000" w:rsidRPr="00000000" w14:paraId="0000005E">
            <w:pPr>
              <w:pStyle w:val="Heading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Not applicable.</w:t>
            </w:r>
            <w:r w:rsidDel="00000000" w:rsidR="00000000" w:rsidRPr="00000000">
              <w:rPr>
                <w:rtl w:val="0"/>
              </w:rPr>
            </w:r>
          </w:p>
        </w:tc>
      </w:tr>
    </w:tbl>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Ongoing policies continue indefinitely (until a decision is made to cease or alter the program). Terminating measures end on a date set out in the initial policy and a further decision is required to continue the program beyond this date.  </w:t>
      </w:r>
      <w:r w:rsidDel="00000000" w:rsidR="00000000" w:rsidRPr="00000000">
        <w:br w:type="page"/>
      </w:r>
      <w:r w:rsidDel="00000000" w:rsidR="00000000" w:rsidRPr="00000000">
        <w:rPr>
          <w:rtl w:val="0"/>
        </w:rPr>
      </w:r>
    </w:p>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SUPER HOME BUYER SCHEME - ADDITIONAL DETAIL</w:t>
      </w:r>
      <w:r w:rsidDel="00000000" w:rsidR="00000000" w:rsidRPr="00000000">
        <w:rPr>
          <w:rtl w:val="0"/>
        </w:rPr>
      </w:r>
    </w:p>
    <w:p w:rsidR="00000000" w:rsidDel="00000000" w:rsidP="00000000" w:rsidRDefault="00000000" w:rsidRPr="00000000" w14:paraId="00000061">
      <w:pPr>
        <w:numPr>
          <w:ilvl w:val="0"/>
          <w:numId w:val="6"/>
        </w:numPr>
        <w:spacing w:after="0" w:afterAutospacing="0"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Commencing as soon as possible, but no later than 1 July 2023, First Home Buyers (FHBs) will be able to invest a portion of their super savings to buy their first home. Up to 40 per cent or $50,000 of their superannuation (whichever is less) will be able to be invested into their first home.</w:t>
      </w:r>
    </w:p>
    <w:p w:rsidR="00000000" w:rsidDel="00000000" w:rsidP="00000000" w:rsidRDefault="00000000" w:rsidRPr="00000000" w14:paraId="00000062">
      <w:pPr>
        <w:numPr>
          <w:ilvl w:val="0"/>
          <w:numId w:val="6"/>
        </w:numPr>
        <w:spacing w:after="0" w:afterAutospacing="0"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There are no income or property caps under the scheme. The only eligibility restrictions are that the individual is a FHB and they have separately saved at least 5% of the deposit.</w:t>
      </w:r>
    </w:p>
    <w:p w:rsidR="00000000" w:rsidDel="00000000" w:rsidP="00000000" w:rsidRDefault="00000000" w:rsidRPr="00000000" w14:paraId="00000063">
      <w:pPr>
        <w:numPr>
          <w:ilvl w:val="0"/>
          <w:numId w:val="6"/>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At the time of </w:t>
      </w:r>
      <w:r w:rsidDel="00000000" w:rsidR="00000000" w:rsidRPr="00000000">
        <w:rPr>
          <w:rFonts w:ascii="Calibri" w:cs="Calibri" w:eastAsia="Calibri" w:hAnsi="Calibri"/>
          <w:sz w:val="22"/>
          <w:szCs w:val="22"/>
          <w:highlight w:val="white"/>
          <w:rtl w:val="0"/>
        </w:rPr>
        <w:t xml:space="preserve">disposing their</w:t>
      </w:r>
      <w:r w:rsidDel="00000000" w:rsidR="00000000" w:rsidRPr="00000000">
        <w:rPr>
          <w:rFonts w:ascii="Calibri" w:cs="Calibri" w:eastAsia="Calibri" w:hAnsi="Calibri"/>
          <w:sz w:val="22"/>
          <w:szCs w:val="22"/>
          <w:highlight w:val="white"/>
          <w:rtl w:val="0"/>
        </w:rPr>
        <w:t xml:space="preserve"> first home, any proportional gain or loss on the investment together with the portion of their superannuation invested in the purchase of the home would be repaid back into superannuation.</w:t>
      </w:r>
    </w:p>
    <w:p w:rsidR="00000000" w:rsidDel="00000000" w:rsidP="00000000" w:rsidRDefault="00000000" w:rsidRPr="00000000" w14:paraId="00000064">
      <w:pPr>
        <w:numPr>
          <w:ilvl w:val="0"/>
          <w:numId w:val="6"/>
        </w:numPr>
        <w:spacing w:after="0" w:afterAutospacing="0" w:line="276"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scheme will require legislation to be established and will complement and be able to be used in conjunction with the Home Guarantee Scheme (HGS) and the First Home Super Saver Scheme (FHSSS) by providing aspiring homeowners with another pathway into home ownership.</w:t>
      </w:r>
    </w:p>
    <w:p w:rsidR="00000000" w:rsidDel="00000000" w:rsidP="00000000" w:rsidRDefault="00000000" w:rsidRPr="00000000" w14:paraId="00000065">
      <w:pPr>
        <w:numPr>
          <w:ilvl w:val="0"/>
          <w:numId w:val="6"/>
        </w:numPr>
        <w:spacing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scheme will be administered by the ATO, which will accept applications, confirm eligibility, approve the release of funds, track amounts released, and manage the process for </w:t>
      </w:r>
      <w:r w:rsidDel="00000000" w:rsidR="00000000" w:rsidRPr="00000000">
        <w:rPr>
          <w:rFonts w:ascii="Calibri" w:cs="Calibri" w:eastAsia="Calibri" w:hAnsi="Calibri"/>
          <w:sz w:val="22"/>
          <w:szCs w:val="22"/>
          <w:highlight w:val="white"/>
          <w:rtl w:val="0"/>
        </w:rPr>
        <w:t xml:space="preserve">recontributions</w:t>
      </w:r>
      <w:r w:rsidDel="00000000" w:rsidR="00000000" w:rsidRPr="00000000">
        <w:rPr>
          <w:rFonts w:ascii="Calibri" w:cs="Calibri" w:eastAsia="Calibri" w:hAnsi="Calibri"/>
          <w:sz w:val="22"/>
          <w:szCs w:val="22"/>
          <w:highlight w:val="white"/>
          <w:rtl w:val="0"/>
        </w:rPr>
        <w:t xml:space="preserve"> on disposal.</w:t>
      </w:r>
    </w:p>
    <w:p w:rsidR="00000000" w:rsidDel="00000000" w:rsidP="00000000" w:rsidRDefault="00000000" w:rsidRPr="00000000" w14:paraId="00000066">
      <w:pPr>
        <w:spacing w:before="240" w:lineRule="auto"/>
        <w:rPr>
          <w:rFonts w:ascii="Times New Roman" w:cs="Times New Roman" w:eastAsia="Times New Roman" w:hAnsi="Times New Roman"/>
          <w:b w:val="1"/>
          <w:sz w:val="24"/>
          <w:szCs w:val="24"/>
          <w:highlight w:val="white"/>
        </w:rPr>
      </w:pPr>
      <w:r w:rsidDel="00000000" w:rsidR="00000000" w:rsidRPr="00000000">
        <w:rPr>
          <w:rFonts w:ascii="Calibri" w:cs="Calibri" w:eastAsia="Calibri" w:hAnsi="Calibri"/>
          <w:b w:val="1"/>
          <w:sz w:val="22"/>
          <w:szCs w:val="22"/>
          <w:rtl w:val="0"/>
        </w:rPr>
        <w:t xml:space="preserve">KEY ELIGIBILITY REQUIREMENTS</w:t>
      </w:r>
      <w:r w:rsidDel="00000000" w:rsidR="00000000" w:rsidRPr="00000000">
        <w:rPr>
          <w:rtl w:val="0"/>
        </w:rPr>
      </w:r>
    </w:p>
    <w:p w:rsidR="00000000" w:rsidDel="00000000" w:rsidP="00000000" w:rsidRDefault="00000000" w:rsidRPr="00000000" w14:paraId="00000067">
      <w:pPr>
        <w:numPr>
          <w:ilvl w:val="0"/>
          <w:numId w:val="4"/>
        </w:numPr>
        <w:spacing w:after="0" w:afterAutospacing="0" w:before="24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Must be a FHB.</w:t>
      </w:r>
    </w:p>
    <w:p w:rsidR="00000000" w:rsidDel="00000000" w:rsidP="00000000" w:rsidRDefault="00000000" w:rsidRPr="00000000" w14:paraId="00000068">
      <w:pPr>
        <w:numPr>
          <w:ilvl w:val="0"/>
          <w:numId w:val="4"/>
        </w:numPr>
        <w:spacing w:after="0" w:afterAutospacing="0" w:before="0" w:beforeAutospacing="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Up to 40 per cent or $50,000 of their superannuation (whichever is less) can be invested.</w:t>
      </w:r>
    </w:p>
    <w:p w:rsidR="00000000" w:rsidDel="00000000" w:rsidP="00000000" w:rsidRDefault="00000000" w:rsidRPr="00000000" w14:paraId="00000069">
      <w:pPr>
        <w:numPr>
          <w:ilvl w:val="0"/>
          <w:numId w:val="4"/>
        </w:numPr>
        <w:spacing w:after="0" w:afterAutospacing="0" w:before="0" w:beforeAutospacing="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A minimum of 5% of savings outside of super for a deposit per single or joint applicant (to demonstrate serviceability to lenders) and meet existing loan serviceability requirements by lenders.  </w:t>
      </w:r>
    </w:p>
    <w:p w:rsidR="00000000" w:rsidDel="00000000" w:rsidP="00000000" w:rsidRDefault="00000000" w:rsidRPr="00000000" w14:paraId="0000006A">
      <w:pPr>
        <w:numPr>
          <w:ilvl w:val="0"/>
          <w:numId w:val="4"/>
        </w:numPr>
        <w:spacing w:after="0" w:afterAutospacing="0" w:before="0" w:beforeAutospacing="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Be for an owner-occupier property for at least 12 months.  </w:t>
      </w:r>
    </w:p>
    <w:p w:rsidR="00000000" w:rsidDel="00000000" w:rsidP="00000000" w:rsidRDefault="00000000" w:rsidRPr="00000000" w14:paraId="0000006B">
      <w:pPr>
        <w:numPr>
          <w:ilvl w:val="0"/>
          <w:numId w:val="4"/>
        </w:numPr>
        <w:spacing w:after="0" w:afterAutospacing="0" w:before="0" w:beforeAutospacing="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For couples, the eligibility of each applicant will be individually assessed. Any member of a couple who is a FHB can access the scheme, even if their partner is not a FHB. </w:t>
      </w:r>
    </w:p>
    <w:p w:rsidR="00000000" w:rsidDel="00000000" w:rsidP="00000000" w:rsidRDefault="00000000" w:rsidRPr="00000000" w14:paraId="0000006C">
      <w:pPr>
        <w:numPr>
          <w:ilvl w:val="0"/>
          <w:numId w:val="4"/>
        </w:numPr>
        <w:spacing w:before="0" w:beforeAutospacing="0"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highlight w:val="white"/>
          <w:rtl w:val="0"/>
        </w:rPr>
        <w:t xml:space="preserve">There are no income or property price caps, and no age thresholds.  </w:t>
      </w:r>
    </w:p>
    <w:p w:rsidR="00000000" w:rsidDel="00000000" w:rsidP="00000000" w:rsidRDefault="00000000" w:rsidRPr="00000000" w14:paraId="0000006D">
      <w:pPr>
        <w:spacing w:before="240"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ADMINISTRATION</w:t>
      </w:r>
    </w:p>
    <w:p w:rsidR="00000000" w:rsidDel="00000000" w:rsidP="00000000" w:rsidRDefault="00000000" w:rsidRPr="00000000" w14:paraId="0000006E">
      <w:pPr>
        <w:spacing w:before="240"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Part 1: Accessing the funds</w:t>
      </w:r>
    </w:p>
    <w:p w:rsidR="00000000" w:rsidDel="00000000" w:rsidP="00000000" w:rsidRDefault="00000000" w:rsidRPr="00000000" w14:paraId="0000006F">
      <w:pPr>
        <w:numPr>
          <w:ilvl w:val="0"/>
          <w:numId w:val="3"/>
        </w:numPr>
        <w:spacing w:after="0" w:afterAutospacing="0" w:before="24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sz w:val="22"/>
          <w:szCs w:val="22"/>
          <w:highlight w:val="white"/>
          <w:rtl w:val="0"/>
        </w:rPr>
        <w:t xml:space="preserve">Individuals must apply to the ATO in order to access the scheme.</w:t>
      </w:r>
    </w:p>
    <w:p w:rsidR="00000000" w:rsidDel="00000000" w:rsidP="00000000" w:rsidRDefault="00000000" w:rsidRPr="00000000" w14:paraId="00000070">
      <w:pPr>
        <w:numPr>
          <w:ilvl w:val="0"/>
          <w:numId w:val="3"/>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ATO would verify their eligibility and notify their super fund/s of the member’s request to withdraw funds from their superannuation under this scheme.</w:t>
      </w:r>
    </w:p>
    <w:p w:rsidR="00000000" w:rsidDel="00000000" w:rsidP="00000000" w:rsidRDefault="00000000" w:rsidRPr="00000000" w14:paraId="00000071">
      <w:pPr>
        <w:numPr>
          <w:ilvl w:val="0"/>
          <w:numId w:val="3"/>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Superannuation funds (both APRA funds and SMSFs) would be required to act on a valid request received from the ATO, with the funds transferred to the individual’s nominated bank account.</w:t>
      </w:r>
    </w:p>
    <w:p w:rsidR="00000000" w:rsidDel="00000000" w:rsidP="00000000" w:rsidRDefault="00000000" w:rsidRPr="00000000" w14:paraId="00000072">
      <w:pPr>
        <w:numPr>
          <w:ilvl w:val="0"/>
          <w:numId w:val="3"/>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For the purposes of the property title, each individual accessing the scheme must appear on the title of the property they purchase.</w:t>
      </w:r>
    </w:p>
    <w:p w:rsidR="00000000" w:rsidDel="00000000" w:rsidP="00000000" w:rsidRDefault="00000000" w:rsidRPr="00000000" w14:paraId="00000073">
      <w:pPr>
        <w:numPr>
          <w:ilvl w:val="0"/>
          <w:numId w:val="3"/>
        </w:numPr>
        <w:spacing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super fund from which the funds were withdrawn will not appear on the property title to simplify administration and not impact on the operation of the super system.</w:t>
      </w:r>
    </w:p>
    <w:p w:rsidR="00000000" w:rsidDel="00000000" w:rsidP="00000000" w:rsidRDefault="00000000" w:rsidRPr="00000000" w14:paraId="00000074">
      <w:pPr>
        <w:spacing w:before="240"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Part 2: Ownership period</w:t>
      </w:r>
    </w:p>
    <w:p w:rsidR="00000000" w:rsidDel="00000000" w:rsidP="00000000" w:rsidRDefault="00000000" w:rsidRPr="00000000" w14:paraId="00000075">
      <w:pPr>
        <w:numPr>
          <w:ilvl w:val="0"/>
          <w:numId w:val="5"/>
        </w:numPr>
        <w:spacing w:after="0" w:afterAutospacing="0" w:before="24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There are no ongoing repayments required to the superannuation fund until the property is disposed.</w:t>
      </w:r>
    </w:p>
    <w:p w:rsidR="00000000" w:rsidDel="00000000" w:rsidP="00000000" w:rsidRDefault="00000000" w:rsidRPr="00000000" w14:paraId="00000076">
      <w:pPr>
        <w:numPr>
          <w:ilvl w:val="0"/>
          <w:numId w:val="5"/>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At any time, a participant can choose to repay the full share of their super investment in the home.</w:t>
      </w:r>
    </w:p>
    <w:p w:rsidR="00000000" w:rsidDel="00000000" w:rsidP="00000000" w:rsidRDefault="00000000" w:rsidRPr="00000000" w14:paraId="00000077">
      <w:pPr>
        <w:numPr>
          <w:ilvl w:val="0"/>
          <w:numId w:val="5"/>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Government will consult on a possible approach to allow partial repayments.</w:t>
      </w:r>
    </w:p>
    <w:p w:rsidR="00000000" w:rsidDel="00000000" w:rsidP="00000000" w:rsidRDefault="00000000" w:rsidRPr="00000000" w14:paraId="00000078">
      <w:pPr>
        <w:numPr>
          <w:ilvl w:val="0"/>
          <w:numId w:val="5"/>
        </w:numPr>
        <w:spacing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Refinancing of the original mortgage will not trigger a requirement to repay.</w:t>
      </w:r>
    </w:p>
    <w:p w:rsidR="00000000" w:rsidDel="00000000" w:rsidP="00000000" w:rsidRDefault="00000000" w:rsidRPr="00000000" w14:paraId="00000079">
      <w:pPr>
        <w:spacing w:before="240"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Part 3: Disposal of the property</w:t>
      </w:r>
    </w:p>
    <w:p w:rsidR="00000000" w:rsidDel="00000000" w:rsidP="00000000" w:rsidRDefault="00000000" w:rsidRPr="00000000" w14:paraId="0000007A">
      <w:pPr>
        <w:numPr>
          <w:ilvl w:val="0"/>
          <w:numId w:val="2"/>
        </w:numPr>
        <w:spacing w:after="0" w:afterAutospacing="0" w:before="24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Upon disposal, the ATO would be notified of the property settlement by the applicant and then calculate the repayment amount required based on the disposal price relative to the purchase price.</w:t>
      </w:r>
    </w:p>
    <w:p w:rsidR="00000000" w:rsidDel="00000000" w:rsidP="00000000" w:rsidRDefault="00000000" w:rsidRPr="00000000" w14:paraId="0000007B">
      <w:pPr>
        <w:numPr>
          <w:ilvl w:val="0"/>
          <w:numId w:val="2"/>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ATO would issue a specific ‘notice of assessment’ to the applicant requiring recontribution and specifying the amount to be repaid.</w:t>
      </w:r>
    </w:p>
    <w:p w:rsidR="00000000" w:rsidDel="00000000" w:rsidP="00000000" w:rsidRDefault="00000000" w:rsidRPr="00000000" w14:paraId="0000007C">
      <w:pPr>
        <w:numPr>
          <w:ilvl w:val="0"/>
          <w:numId w:val="2"/>
        </w:numPr>
        <w:spacing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amount to be repaid to the applicant’s nominated super fund equates to the original amount invested from their superannuation together with a proportionate share of any capital gain or loss from the sale of the property.</w:t>
      </w:r>
    </w:p>
    <w:p w:rsidR="00000000" w:rsidDel="00000000" w:rsidP="00000000" w:rsidRDefault="00000000" w:rsidRPr="00000000" w14:paraId="0000007D">
      <w:pPr>
        <w:spacing w:after="0" w:before="240" w:lineRule="auto"/>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Part 4: Tax treatment of funds returned to their super fund</w:t>
      </w:r>
    </w:p>
    <w:p w:rsidR="00000000" w:rsidDel="00000000" w:rsidP="00000000" w:rsidRDefault="00000000" w:rsidRPr="00000000" w14:paraId="0000007E">
      <w:pPr>
        <w:numPr>
          <w:ilvl w:val="0"/>
          <w:numId w:val="1"/>
        </w:numPr>
        <w:spacing w:after="0" w:afterAutospacing="0" w:before="24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Any capital gain associated with the first home investment will be exempt from tax on repayment to their superannuation fund.  This will ensure that the capital gains tax main residence exemption for the principal place of residence continues to apply irrespective of the source of funds used to purchase a first home.</w:t>
      </w:r>
    </w:p>
    <w:p w:rsidR="00000000" w:rsidDel="00000000" w:rsidP="00000000" w:rsidRDefault="00000000" w:rsidRPr="00000000" w14:paraId="0000007F">
      <w:pPr>
        <w:numPr>
          <w:ilvl w:val="0"/>
          <w:numId w:val="1"/>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The repayment into superannuation will also not be counted towards annual superannuation contribution caps, as the amount returned to the fund will be treated as an investment return, not a contribution.</w:t>
      </w:r>
    </w:p>
    <w:p w:rsidR="00000000" w:rsidDel="00000000" w:rsidP="00000000" w:rsidRDefault="00000000" w:rsidRPr="00000000" w14:paraId="00000080">
      <w:pPr>
        <w:numPr>
          <w:ilvl w:val="0"/>
          <w:numId w:val="1"/>
        </w:numPr>
        <w:spacing w:after="0" w:afterAutospacing="0"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If the required sale proceeds are not returned to superannuation, a penalty tax levied at the top marginal tax rate plus Medicare levy will apply. This is the same penalty that applies for illegal early release of superannuation today.  The ATO Commissioner will be provided with a discretion to deal with any hardship cases.</w:t>
      </w:r>
    </w:p>
    <w:p w:rsidR="00000000" w:rsidDel="00000000" w:rsidP="00000000" w:rsidRDefault="00000000" w:rsidRPr="00000000" w14:paraId="00000081">
      <w:pPr>
        <w:numPr>
          <w:ilvl w:val="0"/>
          <w:numId w:val="1"/>
        </w:numPr>
        <w:spacing w:before="0" w:beforeAutospacing="0" w:lineRule="auto"/>
        <w:ind w:left="720" w:hanging="360"/>
        <w:rPr>
          <w:rFonts w:ascii="Calibri" w:cs="Calibri" w:eastAsia="Calibri" w:hAnsi="Calibri"/>
          <w:highlight w:val="white"/>
          <w:u w:val="none"/>
        </w:rPr>
      </w:pPr>
      <w:r w:rsidDel="00000000" w:rsidR="00000000" w:rsidRPr="00000000">
        <w:rPr>
          <w:rFonts w:ascii="Calibri" w:cs="Calibri" w:eastAsia="Calibri" w:hAnsi="Calibri"/>
          <w:sz w:val="22"/>
          <w:szCs w:val="22"/>
          <w:highlight w:val="white"/>
          <w:rtl w:val="0"/>
        </w:rPr>
        <w:t xml:space="preserve">If at the time of disposal the property is no longer the applicant’s main residence, capital gains tax will apply in the usual way and be assessed by the ATO on lodgement of their tax return.  </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sz w:val="22"/>
          <w:szCs w:val="22"/>
          <w:highlight w:val="white"/>
          <w:rtl w:val="0"/>
        </w:rPr>
        <w:t xml:space="preserve">In such a scenario, the amount to be repaid to super is the same as if no capital gains tax had been paid on the gains from disposal. </w:t>
      </w:r>
    </w:p>
    <w:p w:rsidR="00000000" w:rsidDel="00000000" w:rsidP="00000000" w:rsidRDefault="00000000" w:rsidRPr="00000000" w14:paraId="00000082">
      <w:pPr>
        <w:spacing w:before="240" w:lineRule="auto"/>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83">
      <w:pPr>
        <w:ind w:left="0" w:firstLine="0"/>
        <w:rPr>
          <w:rFonts w:ascii="Calibri" w:cs="Calibri" w:eastAsia="Calibri" w:hAnsi="Calibri"/>
          <w:sz w:val="22"/>
          <w:szCs w:val="22"/>
          <w:highlight w:val="yellow"/>
        </w:rPr>
      </w:pPr>
      <w:r w:rsidDel="00000000" w:rsidR="00000000" w:rsidRPr="00000000">
        <w:rPr>
          <w:rtl w:val="0"/>
        </w:rPr>
      </w:r>
    </w:p>
    <w:sectPr>
      <w:footerReference r:id="rId10" w:type="default"/>
      <w:footerReference r:id="rId11" w:type="first"/>
      <w:footerReference r:id="rId12" w:type="even"/>
      <w:pgSz w:h="16838" w:w="11906" w:orient="portrait"/>
      <w:pgMar w:bottom="1560" w:top="1276" w:left="2098" w:right="2098" w:header="189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 An electronic version of this pro-forma can be found at </w:t>
      </w:r>
      <w:hyperlink r:id="rId1">
        <w:r w:rsidDel="00000000" w:rsidR="00000000" w:rsidRPr="00000000">
          <w:rPr>
            <w:rFonts w:ascii="Book Antiqua" w:cs="Book Antiqua" w:eastAsia="Book Antiqua" w:hAnsi="Book Antiqua"/>
            <w:b w:val="0"/>
            <w:i w:val="0"/>
            <w:smallCaps w:val="0"/>
            <w:strike w:val="0"/>
            <w:color w:val="0000ff"/>
            <w:sz w:val="18"/>
            <w:szCs w:val="18"/>
            <w:u w:val="single"/>
            <w:shd w:fill="auto" w:val="clear"/>
            <w:vertAlign w:val="baseline"/>
            <w:rtl w:val="0"/>
          </w:rPr>
          <w:t xml:space="preserve">www.electioncostings.gov.au/templates</w:t>
        </w:r>
      </w:hyperlink>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AU"/>
      </w:rPr>
    </w:rPrDefault>
    <w:pPrDefault>
      <w:pPr>
        <w:spacing w:after="24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1"/>
      <w:strike w:val="0"/>
      <w:color w:val="000000"/>
      <w:sz w:val="34"/>
      <w:szCs w:val="3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pPr>
    <w:rPr>
      <w:rFonts w:ascii="Arial" w:cs="Arial" w:eastAsia="Arial" w:hAnsi="Arial"/>
      <w:b w:val="1"/>
      <w:i w:val="0"/>
      <w:smallCaps w:val="0"/>
      <w:strike w:val="0"/>
      <w:color w:val="000000"/>
      <w:sz w:val="30"/>
      <w:szCs w:val="30"/>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pPr>
    <w:rPr>
      <w:rFonts w:ascii="Arial" w:cs="Arial" w:eastAsia="Arial" w:hAnsi="Arial"/>
      <w:b w:val="1"/>
      <w:i w:val="0"/>
      <w:smallCaps w:val="1"/>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0203"/>
    <w:pPr>
      <w:spacing w:after="240" w:line="260" w:lineRule="exact"/>
      <w:jc w:val="both"/>
    </w:pPr>
    <w:rPr>
      <w:rFonts w:ascii="Book Antiqua" w:hAnsi="Book Antiqua"/>
    </w:rPr>
  </w:style>
  <w:style w:type="paragraph" w:styleId="Heading1">
    <w:name w:val="heading 1"/>
    <w:basedOn w:val="HeadingBase"/>
    <w:next w:val="Normal"/>
    <w:link w:val="Heading1Char"/>
    <w:qFormat w:val="1"/>
    <w:rsid w:val="001C0203"/>
    <w:pPr>
      <w:spacing w:after="240"/>
      <w:jc w:val="center"/>
      <w:outlineLvl w:val="0"/>
    </w:pPr>
    <w:rPr>
      <w:b w:val="1"/>
      <w:smallCaps w:val="1"/>
      <w:kern w:val="34"/>
      <w:sz w:val="34"/>
    </w:rPr>
  </w:style>
  <w:style w:type="paragraph" w:styleId="Heading2">
    <w:name w:val="heading 2"/>
    <w:basedOn w:val="HeadingBase"/>
    <w:next w:val="Normal"/>
    <w:link w:val="Heading2Char"/>
    <w:qFormat w:val="1"/>
    <w:locked w:val="1"/>
    <w:rsid w:val="001C0203"/>
    <w:pPr>
      <w:spacing w:after="360"/>
      <w:jc w:val="center"/>
      <w:outlineLvl w:val="1"/>
    </w:pPr>
    <w:rPr>
      <w:b w:val="1"/>
      <w:sz w:val="30"/>
    </w:rPr>
  </w:style>
  <w:style w:type="paragraph" w:styleId="Heading3">
    <w:name w:val="heading 3"/>
    <w:basedOn w:val="HeadingBase"/>
    <w:next w:val="Normal"/>
    <w:link w:val="Heading3Char"/>
    <w:qFormat w:val="1"/>
    <w:rsid w:val="001C0203"/>
    <w:pPr>
      <w:spacing w:after="240" w:before="240"/>
      <w:outlineLvl w:val="2"/>
    </w:pPr>
    <w:rPr>
      <w:b w:val="1"/>
      <w:smallCaps w:val="1"/>
      <w:sz w:val="26"/>
    </w:rPr>
  </w:style>
  <w:style w:type="paragraph" w:styleId="Heading4">
    <w:name w:val="heading 4"/>
    <w:basedOn w:val="HeadingBase"/>
    <w:next w:val="Normal"/>
    <w:link w:val="Heading4Char"/>
    <w:qFormat w:val="1"/>
    <w:rsid w:val="001C0203"/>
    <w:pPr>
      <w:spacing w:after="120" w:before="120"/>
      <w:outlineLvl w:val="3"/>
    </w:pPr>
    <w:rPr>
      <w:b w:val="1"/>
      <w:sz w:val="22"/>
    </w:rPr>
  </w:style>
  <w:style w:type="paragraph" w:styleId="Heading5">
    <w:name w:val="heading 5"/>
    <w:basedOn w:val="HeadingBase"/>
    <w:next w:val="Normal"/>
    <w:link w:val="Heading5Char"/>
    <w:qFormat w:val="1"/>
    <w:rsid w:val="001C0203"/>
    <w:pPr>
      <w:spacing w:after="120"/>
      <w:outlineLvl w:val="4"/>
    </w:pPr>
    <w:rPr>
      <w:b w:val="1"/>
      <w:bCs w:val="1"/>
      <w:iCs w:val="1"/>
      <w:sz w:val="20"/>
      <w:szCs w:val="26"/>
    </w:rPr>
  </w:style>
  <w:style w:type="paragraph" w:styleId="Heading6">
    <w:name w:val="heading 6"/>
    <w:basedOn w:val="HeadingBase"/>
    <w:next w:val="Normal"/>
    <w:link w:val="Heading6Char"/>
    <w:qFormat w:val="1"/>
    <w:locked w:val="1"/>
    <w:rsid w:val="001C0203"/>
    <w:pPr>
      <w:spacing w:after="120"/>
      <w:outlineLvl w:val="5"/>
    </w:pPr>
    <w:rPr>
      <w:bCs w:val="1"/>
      <w:sz w:val="20"/>
      <w:szCs w:val="22"/>
    </w:rPr>
  </w:style>
  <w:style w:type="paragraph" w:styleId="Heading7">
    <w:name w:val="heading 7"/>
    <w:basedOn w:val="HeadingBase"/>
    <w:next w:val="Normal"/>
    <w:link w:val="Heading7Char"/>
    <w:qFormat w:val="1"/>
    <w:locked w:val="1"/>
    <w:rsid w:val="001C0203"/>
    <w:pPr>
      <w:spacing w:after="100"/>
      <w:outlineLvl w:val="6"/>
    </w:pPr>
    <w:rPr>
      <w:sz w:val="18"/>
      <w:szCs w:val="24"/>
    </w:rPr>
  </w:style>
  <w:style w:type="paragraph" w:styleId="Heading8">
    <w:name w:val="heading 8"/>
    <w:basedOn w:val="HeadingBase"/>
    <w:next w:val="Normal"/>
    <w:link w:val="Heading8Char"/>
    <w:qFormat w:val="1"/>
    <w:locked w:val="1"/>
    <w:rsid w:val="001C0203"/>
    <w:pPr>
      <w:spacing w:after="60" w:before="240"/>
      <w:outlineLvl w:val="7"/>
    </w:pPr>
    <w:rPr>
      <w:rFonts w:ascii="Times New Roman" w:hAnsi="Times New Roman"/>
      <w:i w:val="1"/>
      <w:iCs w:val="1"/>
      <w:sz w:val="1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locked w:val="1"/>
    <w:rsid w:val="00876FC6"/>
    <w:rPr>
      <w:rFonts w:ascii="Arial" w:hAnsi="Arial"/>
      <w:b w:val="1"/>
      <w:smallCaps w:val="1"/>
      <w:kern w:val="34"/>
      <w:sz w:val="34"/>
      <w:szCs w:val="20"/>
    </w:rPr>
  </w:style>
  <w:style w:type="character" w:styleId="Heading2Char" w:customStyle="1">
    <w:name w:val="Heading 2 Char"/>
    <w:basedOn w:val="DefaultParagraphFont"/>
    <w:link w:val="Heading2"/>
    <w:locked w:val="1"/>
    <w:rsid w:val="008853C0"/>
    <w:rPr>
      <w:rFonts w:ascii="Arial" w:hAnsi="Arial"/>
      <w:b w:val="1"/>
      <w:sz w:val="30"/>
      <w:szCs w:val="20"/>
    </w:rPr>
  </w:style>
  <w:style w:type="character" w:styleId="Heading3Char" w:customStyle="1">
    <w:name w:val="Heading 3 Char"/>
    <w:basedOn w:val="DefaultParagraphFont"/>
    <w:link w:val="Heading3"/>
    <w:locked w:val="1"/>
    <w:rsid w:val="00876FC6"/>
    <w:rPr>
      <w:rFonts w:ascii="Arial" w:hAnsi="Arial"/>
      <w:b w:val="1"/>
      <w:smallCaps w:val="1"/>
      <w:sz w:val="26"/>
      <w:szCs w:val="20"/>
    </w:rPr>
  </w:style>
  <w:style w:type="character" w:styleId="Heading4Char" w:customStyle="1">
    <w:name w:val="Heading 4 Char"/>
    <w:basedOn w:val="DefaultParagraphFont"/>
    <w:link w:val="Heading4"/>
    <w:locked w:val="1"/>
    <w:rsid w:val="00876FC6"/>
    <w:rPr>
      <w:rFonts w:ascii="Arial" w:hAnsi="Arial"/>
      <w:b w:val="1"/>
      <w:szCs w:val="20"/>
    </w:rPr>
  </w:style>
  <w:style w:type="character" w:styleId="Heading5Char" w:customStyle="1">
    <w:name w:val="Heading 5 Char"/>
    <w:basedOn w:val="DefaultParagraphFont"/>
    <w:link w:val="Heading5"/>
    <w:locked w:val="1"/>
    <w:rsid w:val="00876FC6"/>
    <w:rPr>
      <w:rFonts w:ascii="Arial" w:hAnsi="Arial"/>
      <w:b w:val="1"/>
      <w:bCs w:val="1"/>
      <w:iCs w:val="1"/>
      <w:sz w:val="20"/>
      <w:szCs w:val="26"/>
    </w:rPr>
  </w:style>
  <w:style w:type="character" w:styleId="Heading6Char" w:customStyle="1">
    <w:name w:val="Heading 6 Char"/>
    <w:basedOn w:val="DefaultParagraphFont"/>
    <w:link w:val="Heading6"/>
    <w:locked w:val="1"/>
    <w:rsid w:val="008853C0"/>
    <w:rPr>
      <w:rFonts w:ascii="Arial" w:hAnsi="Arial"/>
      <w:bCs w:val="1"/>
      <w:sz w:val="20"/>
    </w:rPr>
  </w:style>
  <w:style w:type="character" w:styleId="Heading7Char" w:customStyle="1">
    <w:name w:val="Heading 7 Char"/>
    <w:basedOn w:val="DefaultParagraphFont"/>
    <w:link w:val="Heading7"/>
    <w:locked w:val="1"/>
    <w:rsid w:val="008853C0"/>
    <w:rPr>
      <w:rFonts w:ascii="Arial" w:hAnsi="Arial"/>
      <w:sz w:val="18"/>
      <w:szCs w:val="24"/>
    </w:rPr>
  </w:style>
  <w:style w:type="character" w:styleId="Heading8Char" w:customStyle="1">
    <w:name w:val="Heading 8 Char"/>
    <w:basedOn w:val="DefaultParagraphFont"/>
    <w:link w:val="Heading8"/>
    <w:locked w:val="1"/>
    <w:rsid w:val="008853C0"/>
    <w:rPr>
      <w:i w:val="1"/>
      <w:iCs w:val="1"/>
      <w:sz w:val="16"/>
      <w:szCs w:val="24"/>
    </w:rPr>
  </w:style>
  <w:style w:type="paragraph" w:styleId="SingleParagraph" w:customStyle="1">
    <w:name w:val="Single Paragraph"/>
    <w:basedOn w:val="Normal"/>
    <w:rsid w:val="001C0203"/>
    <w:pPr>
      <w:spacing w:after="0"/>
    </w:pPr>
  </w:style>
  <w:style w:type="paragraph" w:styleId="TableHeading" w:customStyle="1">
    <w:name w:val="Table Heading"/>
    <w:basedOn w:val="HeadingBase"/>
    <w:next w:val="TableGraphic"/>
    <w:rsid w:val="001C0203"/>
    <w:pPr>
      <w:spacing w:after="20" w:before="120"/>
    </w:pPr>
    <w:rPr>
      <w:b w:val="1"/>
      <w:sz w:val="20"/>
    </w:rPr>
  </w:style>
  <w:style w:type="paragraph" w:styleId="Bullet" w:customStyle="1">
    <w:name w:val="Bullet"/>
    <w:basedOn w:val="Normal"/>
    <w:link w:val="BulletChar"/>
    <w:rsid w:val="001C0203"/>
    <w:pPr>
      <w:numPr>
        <w:numId w:val="1"/>
      </w:numPr>
    </w:pPr>
  </w:style>
  <w:style w:type="paragraph" w:styleId="Dash" w:customStyle="1">
    <w:name w:val="Dash"/>
    <w:basedOn w:val="Normal"/>
    <w:rsid w:val="001C0203"/>
    <w:pPr>
      <w:numPr>
        <w:ilvl w:val="1"/>
        <w:numId w:val="1"/>
      </w:numPr>
    </w:pPr>
  </w:style>
  <w:style w:type="paragraph" w:styleId="DoubleDot" w:customStyle="1">
    <w:name w:val="Double Dot"/>
    <w:basedOn w:val="Normal"/>
    <w:link w:val="DoubleDotChar"/>
    <w:rsid w:val="001C0203"/>
    <w:pPr>
      <w:numPr>
        <w:ilvl w:val="2"/>
        <w:numId w:val="1"/>
      </w:numPr>
    </w:pPr>
  </w:style>
  <w:style w:type="paragraph" w:styleId="AppendixHeading" w:customStyle="1">
    <w:name w:val="Appendix Heading"/>
    <w:basedOn w:val="HeadingBase"/>
    <w:rsid w:val="001C0203"/>
    <w:pPr>
      <w:spacing w:after="240"/>
      <w:jc w:val="center"/>
      <w:outlineLvl w:val="3"/>
    </w:pPr>
    <w:rPr>
      <w:b w:val="1"/>
      <w:smallCaps w:val="1"/>
      <w:sz w:val="30"/>
    </w:rPr>
  </w:style>
  <w:style w:type="paragraph" w:styleId="BoxHeading" w:customStyle="1">
    <w:name w:val="Box Heading"/>
    <w:basedOn w:val="HeadingBase"/>
    <w:next w:val="BoxText"/>
    <w:rsid w:val="001C0203"/>
    <w:pPr>
      <w:spacing w:after="120" w:before="120"/>
    </w:pPr>
    <w:rPr>
      <w:b w:val="1"/>
      <w:sz w:val="20"/>
    </w:rPr>
  </w:style>
  <w:style w:type="paragraph" w:styleId="ChartandTableFootnoteAlpha" w:customStyle="1">
    <w:name w:val="Chart and Table Footnote Alpha"/>
    <w:basedOn w:val="HeadingBase"/>
    <w:next w:val="Normal"/>
    <w:uiPriority w:val="99"/>
    <w:rsid w:val="001C0203"/>
    <w:pPr>
      <w:numPr>
        <w:numId w:val="2"/>
      </w:numPr>
      <w:jc w:val="both"/>
    </w:pPr>
    <w:rPr>
      <w:sz w:val="16"/>
    </w:rPr>
  </w:style>
  <w:style w:type="paragraph" w:styleId="BoxBullet" w:customStyle="1">
    <w:name w:val="Box Bullet"/>
    <w:basedOn w:val="BoxText"/>
    <w:rsid w:val="001C0203"/>
    <w:pPr>
      <w:numPr>
        <w:numId w:val="3"/>
      </w:numPr>
    </w:pPr>
  </w:style>
  <w:style w:type="paragraph" w:styleId="ContentsHeading" w:customStyle="1">
    <w:name w:val="Contents Heading"/>
    <w:basedOn w:val="HeadingBase"/>
    <w:next w:val="Normal"/>
    <w:rsid w:val="001C0203"/>
    <w:pPr>
      <w:spacing w:after="720"/>
      <w:jc w:val="center"/>
    </w:pPr>
    <w:rPr>
      <w:b w:val="1"/>
      <w:smallCaps w:val="1"/>
      <w:sz w:val="34"/>
    </w:rPr>
  </w:style>
  <w:style w:type="paragraph" w:styleId="Classification" w:customStyle="1">
    <w:name w:val="Classification"/>
    <w:basedOn w:val="HeadingBase"/>
    <w:rsid w:val="001C0203"/>
    <w:pPr>
      <w:jc w:val="center"/>
    </w:pPr>
    <w:rPr>
      <w:b w:val="1"/>
      <w:smallCaps w:val="1"/>
    </w:rPr>
  </w:style>
  <w:style w:type="paragraph" w:styleId="TableGraphic" w:customStyle="1">
    <w:name w:val="Table Graphic"/>
    <w:basedOn w:val="Normal"/>
    <w:next w:val="Normal"/>
    <w:rsid w:val="001C0203"/>
    <w:pPr>
      <w:spacing w:after="0" w:line="240" w:lineRule="auto"/>
      <w:ind w:right="-113"/>
    </w:pPr>
  </w:style>
  <w:style w:type="paragraph" w:styleId="TableColumnHeadingLeft" w:customStyle="1">
    <w:name w:val="Table Column Heading Left"/>
    <w:basedOn w:val="TableColumnHeadingBase"/>
    <w:next w:val="TableTextLeft"/>
    <w:rsid w:val="001C0203"/>
  </w:style>
  <w:style w:type="paragraph" w:styleId="TableColumnHeadingRight" w:customStyle="1">
    <w:name w:val="Table Column Heading Right"/>
    <w:basedOn w:val="TableColumnHeadingBase"/>
    <w:next w:val="TableTextRight"/>
    <w:rsid w:val="001C0203"/>
    <w:pPr>
      <w:jc w:val="right"/>
    </w:pPr>
  </w:style>
  <w:style w:type="paragraph" w:styleId="TPHeading2" w:customStyle="1">
    <w:name w:val="TP Heading 2"/>
    <w:basedOn w:val="HeadingBase"/>
    <w:rsid w:val="001C0203"/>
    <w:pPr>
      <w:jc w:val="center"/>
    </w:pPr>
    <w:rPr>
      <w:rFonts w:ascii="Book Antiqua" w:hAnsi="Book Antiqua"/>
      <w:b w:val="1"/>
      <w:caps w:val="1"/>
      <w:sz w:val="44"/>
    </w:rPr>
  </w:style>
  <w:style w:type="paragraph" w:styleId="TPHeading3" w:customStyle="1">
    <w:name w:val="TP Heading 3"/>
    <w:basedOn w:val="HeadingBase"/>
    <w:rsid w:val="001C0203"/>
    <w:pPr>
      <w:jc w:val="center"/>
    </w:pPr>
    <w:rPr>
      <w:rFonts w:ascii="Book Antiqua" w:hAnsi="Book Antiqua"/>
      <w:caps w:val="1"/>
    </w:rPr>
  </w:style>
  <w:style w:type="paragraph" w:styleId="Header">
    <w:name w:val="header"/>
    <w:basedOn w:val="HeaderBase"/>
    <w:link w:val="HeaderChar"/>
    <w:rsid w:val="001C0203"/>
    <w:pPr>
      <w:tabs>
        <w:tab w:val="center" w:pos="4153"/>
        <w:tab w:val="right" w:pos="8306"/>
      </w:tabs>
    </w:pPr>
  </w:style>
  <w:style w:type="character" w:styleId="HeaderChar" w:customStyle="1">
    <w:name w:val="Header Char"/>
    <w:basedOn w:val="DefaultParagraphFont"/>
    <w:link w:val="Header"/>
    <w:locked w:val="1"/>
    <w:rsid w:val="00876FC6"/>
    <w:rPr>
      <w:rFonts w:ascii="Book Antiqua" w:hAnsi="Book Antiqua"/>
      <w:i w:val="1"/>
      <w:sz w:val="20"/>
      <w:szCs w:val="20"/>
    </w:rPr>
  </w:style>
  <w:style w:type="paragraph" w:styleId="Footer">
    <w:name w:val="footer"/>
    <w:basedOn w:val="FooterBase"/>
    <w:link w:val="FooterChar"/>
    <w:rsid w:val="001C0203"/>
    <w:pPr>
      <w:tabs>
        <w:tab w:val="center" w:pos="4153"/>
        <w:tab w:val="right" w:pos="8306"/>
      </w:tabs>
    </w:pPr>
  </w:style>
  <w:style w:type="character" w:styleId="FooterChar" w:customStyle="1">
    <w:name w:val="Footer Char"/>
    <w:basedOn w:val="DefaultParagraphFont"/>
    <w:link w:val="Footer"/>
    <w:locked w:val="1"/>
    <w:rsid w:val="00876FC6"/>
    <w:rPr>
      <w:rFonts w:ascii="Arial" w:hAnsi="Arial"/>
      <w:sz w:val="20"/>
      <w:szCs w:val="20"/>
    </w:rPr>
  </w:style>
  <w:style w:type="paragraph" w:styleId="Caption">
    <w:name w:val="caption"/>
    <w:basedOn w:val="Normal"/>
    <w:next w:val="Normal"/>
    <w:link w:val="CaptionChar"/>
    <w:qFormat w:val="1"/>
    <w:rsid w:val="001C0203"/>
    <w:rPr>
      <w:b w:val="1"/>
      <w:bCs w:val="1"/>
    </w:rPr>
  </w:style>
  <w:style w:type="paragraph" w:styleId="TOC1">
    <w:name w:val="toc 1"/>
    <w:basedOn w:val="HeaderBase"/>
    <w:next w:val="Normal"/>
    <w:uiPriority w:val="39"/>
    <w:rsid w:val="001C0203"/>
    <w:pPr>
      <w:tabs>
        <w:tab w:val="left" w:pos="1486"/>
        <w:tab w:val="right" w:leader="dot" w:pos="7700"/>
      </w:tabs>
      <w:spacing w:before="240"/>
      <w:ind w:right="851"/>
    </w:pPr>
    <w:rPr>
      <w:rFonts w:ascii="Arial Bold" w:hAnsi="Arial Bold"/>
      <w:b w:val="1"/>
      <w:i w:val="0"/>
      <w:smallCaps w:val="1"/>
      <w:sz w:val="22"/>
    </w:rPr>
  </w:style>
  <w:style w:type="paragraph" w:styleId="TOC2">
    <w:name w:val="toc 2"/>
    <w:basedOn w:val="HeadingBase"/>
    <w:next w:val="Normal"/>
    <w:rsid w:val="001C0203"/>
    <w:pPr>
      <w:tabs>
        <w:tab w:val="left" w:pos="992"/>
        <w:tab w:val="right" w:leader="dot" w:pos="7700"/>
      </w:tabs>
      <w:spacing w:before="40"/>
      <w:ind w:left="1078" w:right="851" w:hanging="284"/>
    </w:pPr>
    <w:rPr>
      <w:sz w:val="20"/>
    </w:rPr>
  </w:style>
  <w:style w:type="paragraph" w:styleId="FileProperties" w:customStyle="1">
    <w:name w:val="File Properties"/>
    <w:basedOn w:val="Normal"/>
    <w:rsid w:val="001C0203"/>
    <w:rPr>
      <w:i w:val="1"/>
    </w:rPr>
  </w:style>
  <w:style w:type="character" w:styleId="PageNumber">
    <w:name w:val="page number"/>
    <w:basedOn w:val="DefaultParagraphFont"/>
    <w:rsid w:val="001C0203"/>
    <w:rPr>
      <w:rFonts w:ascii="Arial" w:cs="Arial" w:hAnsi="Arial"/>
    </w:rPr>
  </w:style>
  <w:style w:type="table" w:styleId="TableGrid">
    <w:name w:val="Table Grid"/>
    <w:basedOn w:val="TableNormal"/>
    <w:uiPriority w:val="59"/>
    <w:rsid w:val="001C0203"/>
    <w:pPr>
      <w:spacing w:after="240" w:line="260" w:lineRule="exact"/>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ecurityClassificationFooter" w:customStyle="1">
    <w:name w:val="Security Classification Footer"/>
    <w:uiPriority w:val="99"/>
    <w:rsid w:val="000F5785"/>
    <w:pPr>
      <w:spacing w:before="240"/>
      <w:jc w:val="center"/>
    </w:pPr>
    <w:rPr>
      <w:rFonts w:ascii="Book Antiqua" w:cs="Book Antiqua" w:hAnsi="Book Antiqua"/>
      <w:b w:val="1"/>
      <w:bCs w:val="1"/>
      <w:i w:val="1"/>
      <w:iCs w:val="1"/>
      <w:caps w:val="1"/>
      <w:sz w:val="24"/>
      <w:szCs w:val="24"/>
    </w:rPr>
  </w:style>
  <w:style w:type="character" w:styleId="CaptionChar" w:customStyle="1">
    <w:name w:val="Caption Char"/>
    <w:basedOn w:val="DefaultParagraphFont"/>
    <w:link w:val="Caption"/>
    <w:locked w:val="1"/>
    <w:rsid w:val="000F5785"/>
    <w:rPr>
      <w:rFonts w:ascii="Book Antiqua" w:hAnsi="Book Antiqua"/>
      <w:b w:val="1"/>
      <w:bCs w:val="1"/>
      <w:sz w:val="20"/>
      <w:szCs w:val="20"/>
    </w:rPr>
  </w:style>
  <w:style w:type="paragraph" w:styleId="Proformatext" w:customStyle="1">
    <w:name w:val="Pro forma text"/>
    <w:basedOn w:val="Normal"/>
    <w:rsid w:val="001C0203"/>
    <w:pPr>
      <w:spacing w:after="80" w:before="80"/>
      <w:jc w:val="left"/>
    </w:pPr>
  </w:style>
  <w:style w:type="paragraph" w:styleId="Proformabullet" w:customStyle="1">
    <w:name w:val="Pro forma bullet"/>
    <w:basedOn w:val="Bullet"/>
    <w:rsid w:val="001C0203"/>
    <w:pPr>
      <w:numPr>
        <w:numId w:val="0"/>
      </w:numPr>
      <w:spacing w:after="80" w:before="80"/>
      <w:jc w:val="left"/>
    </w:pPr>
  </w:style>
  <w:style w:type="paragraph" w:styleId="Proformaheading" w:customStyle="1">
    <w:name w:val="Pro forma heading"/>
    <w:basedOn w:val="Heading5"/>
    <w:rsid w:val="001C0203"/>
    <w:pPr>
      <w:spacing w:before="120"/>
    </w:pPr>
  </w:style>
  <w:style w:type="paragraph" w:styleId="BalloonText">
    <w:name w:val="Balloon Text"/>
    <w:basedOn w:val="Normal"/>
    <w:link w:val="BalloonTextChar"/>
    <w:rsid w:val="001C0203"/>
    <w:rPr>
      <w:rFonts w:ascii="Tahoma" w:cs="Tahoma" w:hAnsi="Tahoma"/>
      <w:sz w:val="16"/>
      <w:szCs w:val="16"/>
    </w:rPr>
  </w:style>
  <w:style w:type="character" w:styleId="BalloonTextChar" w:customStyle="1">
    <w:name w:val="Balloon Text Char"/>
    <w:basedOn w:val="DefaultParagraphFont"/>
    <w:link w:val="BalloonText"/>
    <w:locked w:val="1"/>
    <w:rsid w:val="00907C55"/>
    <w:rPr>
      <w:rFonts w:ascii="Tahoma" w:cs="Tahoma" w:hAnsi="Tahoma"/>
      <w:sz w:val="16"/>
      <w:szCs w:val="16"/>
    </w:rPr>
  </w:style>
  <w:style w:type="character" w:styleId="CommentReference">
    <w:name w:val="annotation reference"/>
    <w:basedOn w:val="DefaultParagraphFont"/>
    <w:uiPriority w:val="99"/>
    <w:rsid w:val="001C0203"/>
    <w:rPr>
      <w:sz w:val="16"/>
      <w:szCs w:val="16"/>
    </w:rPr>
  </w:style>
  <w:style w:type="paragraph" w:styleId="CommentText">
    <w:name w:val="annotation text"/>
    <w:basedOn w:val="Normal"/>
    <w:link w:val="CommentTextChar"/>
    <w:uiPriority w:val="99"/>
    <w:rsid w:val="001C0203"/>
  </w:style>
  <w:style w:type="character" w:styleId="CommentTextChar" w:customStyle="1">
    <w:name w:val="Comment Text Char"/>
    <w:basedOn w:val="DefaultParagraphFont"/>
    <w:link w:val="CommentText"/>
    <w:uiPriority w:val="99"/>
    <w:locked w:val="1"/>
    <w:rsid w:val="00647929"/>
    <w:rPr>
      <w:rFonts w:ascii="Book Antiqua" w:hAnsi="Book Antiqua"/>
      <w:sz w:val="20"/>
      <w:szCs w:val="20"/>
    </w:rPr>
  </w:style>
  <w:style w:type="paragraph" w:styleId="CommentSubject">
    <w:name w:val="annotation subject"/>
    <w:basedOn w:val="CommentText"/>
    <w:next w:val="CommentText"/>
    <w:link w:val="CommentSubjectChar"/>
    <w:rsid w:val="001C0203"/>
    <w:rPr>
      <w:b w:val="1"/>
      <w:bCs w:val="1"/>
    </w:rPr>
  </w:style>
  <w:style w:type="character" w:styleId="CommentSubjectChar" w:customStyle="1">
    <w:name w:val="Comment Subject Char"/>
    <w:basedOn w:val="CommentTextChar"/>
    <w:link w:val="CommentSubject"/>
    <w:locked w:val="1"/>
    <w:rsid w:val="00647929"/>
    <w:rPr>
      <w:rFonts w:ascii="Book Antiqua" w:hAnsi="Book Antiqua"/>
      <w:b w:val="1"/>
      <w:bCs w:val="1"/>
      <w:sz w:val="20"/>
      <w:szCs w:val="20"/>
    </w:rPr>
  </w:style>
  <w:style w:type="paragraph" w:styleId="ChartHeading" w:customStyle="1">
    <w:name w:val="Chart Heading"/>
    <w:basedOn w:val="HeadingBase"/>
    <w:next w:val="ChartGraphic"/>
    <w:rsid w:val="001C0203"/>
    <w:pPr>
      <w:spacing w:after="20" w:before="120"/>
      <w:jc w:val="center"/>
    </w:pPr>
    <w:rPr>
      <w:b w:val="1"/>
      <w:sz w:val="20"/>
    </w:rPr>
  </w:style>
  <w:style w:type="paragraph" w:styleId="ChartSecondHeading" w:customStyle="1">
    <w:name w:val="Chart Second Heading"/>
    <w:basedOn w:val="HeadingBase"/>
    <w:next w:val="ChartGraphic"/>
    <w:rsid w:val="001C0203"/>
    <w:pPr>
      <w:spacing w:before="60"/>
      <w:jc w:val="center"/>
    </w:pPr>
    <w:rPr>
      <w:sz w:val="20"/>
    </w:rPr>
  </w:style>
  <w:style w:type="paragraph" w:styleId="HeadingBase" w:customStyle="1">
    <w:name w:val="Heading Base"/>
    <w:rsid w:val="001C0203"/>
    <w:pPr>
      <w:keepNext w:val="1"/>
    </w:pPr>
    <w:rPr>
      <w:rFonts w:ascii="Arial" w:hAnsi="Arial"/>
      <w:sz w:val="24"/>
    </w:rPr>
  </w:style>
  <w:style w:type="paragraph" w:styleId="AlphaParagraph" w:customStyle="1">
    <w:name w:val="Alpha Paragraph"/>
    <w:basedOn w:val="Normal"/>
    <w:rsid w:val="001C0203"/>
    <w:pPr>
      <w:numPr>
        <w:numId w:val="5"/>
      </w:numPr>
    </w:pPr>
  </w:style>
  <w:style w:type="paragraph" w:styleId="BoxText" w:customStyle="1">
    <w:name w:val="Box Text"/>
    <w:basedOn w:val="Normal"/>
    <w:rsid w:val="001C0203"/>
    <w:pPr>
      <w:spacing w:after="120" w:before="120" w:line="240" w:lineRule="auto"/>
    </w:pPr>
  </w:style>
  <w:style w:type="paragraph" w:styleId="ChartandTableFootnoteAlphaSmall" w:customStyle="1">
    <w:name w:val="Chart and Table Footnote Alpha Small"/>
    <w:basedOn w:val="HeadingBase"/>
    <w:next w:val="Normal"/>
    <w:rsid w:val="001C0203"/>
    <w:pPr>
      <w:numPr>
        <w:numId w:val="6"/>
      </w:numPr>
      <w:jc w:val="both"/>
    </w:pPr>
    <w:rPr>
      <w:sz w:val="15"/>
    </w:rPr>
  </w:style>
  <w:style w:type="paragraph" w:styleId="ChartandTableFootnote" w:customStyle="1">
    <w:name w:val="Chart and Table Footnote"/>
    <w:basedOn w:val="HeadingBase"/>
    <w:next w:val="Normal"/>
    <w:rsid w:val="001C0203"/>
    <w:pPr>
      <w:tabs>
        <w:tab w:val="left" w:pos="284"/>
      </w:tabs>
      <w:jc w:val="both"/>
    </w:pPr>
    <w:rPr>
      <w:sz w:val="16"/>
    </w:rPr>
  </w:style>
  <w:style w:type="paragraph" w:styleId="ChartandTableFootnoteSmall" w:customStyle="1">
    <w:name w:val="Chart and Table Footnote Small"/>
    <w:basedOn w:val="HeadingBase"/>
    <w:next w:val="Normal"/>
    <w:rsid w:val="001C0203"/>
    <w:pPr>
      <w:tabs>
        <w:tab w:val="left" w:pos="284"/>
      </w:tabs>
      <w:jc w:val="both"/>
    </w:pPr>
    <w:rPr>
      <w:sz w:val="15"/>
    </w:rPr>
  </w:style>
  <w:style w:type="paragraph" w:styleId="ChartGraphic" w:customStyle="1">
    <w:name w:val="Chart Graphic"/>
    <w:basedOn w:val="HeadingBase"/>
    <w:rsid w:val="001C0203"/>
    <w:pPr>
      <w:jc w:val="center"/>
    </w:pPr>
    <w:rPr>
      <w:sz w:val="20"/>
    </w:rPr>
  </w:style>
  <w:style w:type="paragraph" w:styleId="FigureHeading" w:customStyle="1">
    <w:name w:val="Figure Heading"/>
    <w:basedOn w:val="HeadingBase"/>
    <w:next w:val="ChartGraphic"/>
    <w:rsid w:val="001C0203"/>
    <w:pPr>
      <w:spacing w:after="20" w:before="120"/>
    </w:pPr>
    <w:rPr>
      <w:b w:val="1"/>
      <w:sz w:val="20"/>
    </w:rPr>
  </w:style>
  <w:style w:type="character" w:styleId="HiddenSequenceCode" w:customStyle="1">
    <w:name w:val="Hidden Sequence Code"/>
    <w:basedOn w:val="DefaultParagraphFont"/>
    <w:rsid w:val="001C0203"/>
    <w:rPr>
      <w:rFonts w:ascii="Times New Roman" w:hAnsi="Times New Roman"/>
      <w:vanish w:val="1"/>
      <w:sz w:val="16"/>
    </w:rPr>
  </w:style>
  <w:style w:type="paragraph" w:styleId="OverviewParagraph" w:customStyle="1">
    <w:name w:val="Overview Paragraph"/>
    <w:basedOn w:val="Normal"/>
    <w:rsid w:val="001C0203"/>
    <w:pPr>
      <w:spacing w:after="120" w:before="120" w:line="240" w:lineRule="auto"/>
    </w:pPr>
  </w:style>
  <w:style w:type="paragraph" w:styleId="NoteTableHeading" w:customStyle="1">
    <w:name w:val="Note Table Heading"/>
    <w:basedOn w:val="HeadingBase"/>
    <w:next w:val="TableGraphic"/>
    <w:rsid w:val="001C0203"/>
    <w:pPr>
      <w:spacing w:before="240"/>
    </w:pPr>
    <w:rPr>
      <w:b w:val="1"/>
      <w:sz w:val="20"/>
    </w:rPr>
  </w:style>
  <w:style w:type="paragraph" w:styleId="Source" w:customStyle="1">
    <w:name w:val="Source"/>
    <w:basedOn w:val="Normal"/>
    <w:rsid w:val="001C0203"/>
    <w:pPr>
      <w:tabs>
        <w:tab w:val="left" w:pos="284"/>
      </w:tabs>
      <w:spacing w:line="240" w:lineRule="auto"/>
    </w:pPr>
    <w:rPr>
      <w:rFonts w:ascii="Arial" w:hAnsi="Arial"/>
      <w:sz w:val="16"/>
    </w:rPr>
  </w:style>
  <w:style w:type="paragraph" w:styleId="TableTextBase" w:customStyle="1">
    <w:name w:val="Table Text Base"/>
    <w:basedOn w:val="Normal"/>
    <w:rsid w:val="001C0203"/>
    <w:pPr>
      <w:spacing w:after="20" w:before="20" w:line="240" w:lineRule="auto"/>
      <w:jc w:val="left"/>
    </w:pPr>
    <w:rPr>
      <w:rFonts w:ascii="Arial" w:hAnsi="Arial"/>
      <w:sz w:val="16"/>
    </w:rPr>
  </w:style>
  <w:style w:type="paragraph" w:styleId="TableColumnHeadingBase" w:customStyle="1">
    <w:name w:val="Table Column Heading Base"/>
    <w:basedOn w:val="Normal"/>
    <w:rsid w:val="001C0203"/>
    <w:pPr>
      <w:spacing w:after="40" w:before="40" w:line="240" w:lineRule="auto"/>
      <w:jc w:val="left"/>
    </w:pPr>
    <w:rPr>
      <w:rFonts w:ascii="Arial" w:hAnsi="Arial"/>
      <w:b w:val="1"/>
      <w:sz w:val="16"/>
    </w:rPr>
  </w:style>
  <w:style w:type="paragraph" w:styleId="TableTextLeft" w:customStyle="1">
    <w:name w:val="Table Text Left"/>
    <w:basedOn w:val="TableTextBase"/>
    <w:rsid w:val="001C0203"/>
  </w:style>
  <w:style w:type="paragraph" w:styleId="TableTextRight" w:customStyle="1">
    <w:name w:val="Table Text Right"/>
    <w:basedOn w:val="TableTextBase"/>
    <w:rsid w:val="001C0203"/>
    <w:pPr>
      <w:jc w:val="right"/>
    </w:pPr>
  </w:style>
  <w:style w:type="paragraph" w:styleId="TableTextCentred" w:customStyle="1">
    <w:name w:val="Table Text Centred"/>
    <w:basedOn w:val="TableTextBase"/>
    <w:rsid w:val="001C0203"/>
    <w:pPr>
      <w:jc w:val="center"/>
    </w:pPr>
  </w:style>
  <w:style w:type="paragraph" w:styleId="TableTextIndented" w:customStyle="1">
    <w:name w:val="Table Text Indented"/>
    <w:basedOn w:val="TableTextBase"/>
    <w:rsid w:val="001C0203"/>
    <w:pPr>
      <w:ind w:left="284"/>
    </w:pPr>
  </w:style>
  <w:style w:type="paragraph" w:styleId="TableColumnHeadingCentred" w:customStyle="1">
    <w:name w:val="Table Column Heading Centred"/>
    <w:basedOn w:val="TableColumnHeadingBase"/>
    <w:next w:val="TableTextLeft"/>
    <w:rsid w:val="001C0203"/>
    <w:pPr>
      <w:jc w:val="center"/>
    </w:pPr>
  </w:style>
  <w:style w:type="paragraph" w:styleId="TableColumnHeadingS119pt" w:customStyle="1">
    <w:name w:val="Table Column Heading S11 9 pt"/>
    <w:basedOn w:val="TableColumnHeadingBase"/>
    <w:rsid w:val="001C0203"/>
    <w:pPr>
      <w:spacing w:after="60" w:before="60"/>
    </w:pPr>
    <w:rPr>
      <w:sz w:val="18"/>
    </w:rPr>
  </w:style>
  <w:style w:type="paragraph" w:styleId="TableColumnHeadingS118pt" w:customStyle="1">
    <w:name w:val="Table Column Heading S11 8 pt"/>
    <w:basedOn w:val="TableColumnHeadingBase"/>
    <w:rsid w:val="001C0203"/>
    <w:pPr>
      <w:spacing w:after="0"/>
    </w:pPr>
  </w:style>
  <w:style w:type="paragraph" w:styleId="TableHeadingcontinued" w:customStyle="1">
    <w:name w:val="Table Heading continued"/>
    <w:basedOn w:val="HeadingBase"/>
    <w:next w:val="TableGraphic"/>
    <w:rsid w:val="001C0203"/>
    <w:pPr>
      <w:spacing w:after="20" w:before="120"/>
    </w:pPr>
    <w:rPr>
      <w:rFonts w:ascii="Arial Bold" w:hAnsi="Arial Bold"/>
      <w:b w:val="1"/>
      <w:sz w:val="20"/>
    </w:rPr>
  </w:style>
  <w:style w:type="paragraph" w:styleId="TPHeading1" w:customStyle="1">
    <w:name w:val="TP Heading 1"/>
    <w:basedOn w:val="HeadingBase"/>
    <w:rsid w:val="001C0203"/>
    <w:pPr>
      <w:jc w:val="center"/>
    </w:pPr>
    <w:rPr>
      <w:rFonts w:ascii="Palatino" w:hAnsi="Palatino"/>
      <w:caps w:val="1"/>
      <w:sz w:val="28"/>
    </w:rPr>
  </w:style>
  <w:style w:type="paragraph" w:styleId="HeaderBase" w:customStyle="1">
    <w:name w:val="Header Base"/>
    <w:rsid w:val="001C0203"/>
    <w:rPr>
      <w:rFonts w:ascii="Book Antiqua" w:hAnsi="Book Antiqua"/>
      <w:i w:val="1"/>
    </w:rPr>
  </w:style>
  <w:style w:type="paragraph" w:styleId="HeaderEven" w:customStyle="1">
    <w:name w:val="Header Even"/>
    <w:basedOn w:val="HeaderBase"/>
    <w:rsid w:val="001C0203"/>
  </w:style>
  <w:style w:type="paragraph" w:styleId="HeaderOdd" w:customStyle="1">
    <w:name w:val="Header Odd"/>
    <w:basedOn w:val="HeaderBase"/>
    <w:rsid w:val="001C0203"/>
    <w:pPr>
      <w:jc w:val="right"/>
    </w:pPr>
  </w:style>
  <w:style w:type="paragraph" w:styleId="FooterBase" w:customStyle="1">
    <w:name w:val="Footer Base"/>
    <w:rsid w:val="001C0203"/>
    <w:pPr>
      <w:jc w:val="center"/>
    </w:pPr>
    <w:rPr>
      <w:rFonts w:ascii="Arial" w:hAnsi="Arial"/>
    </w:rPr>
  </w:style>
  <w:style w:type="paragraph" w:styleId="DocumentMap">
    <w:name w:val="Document Map"/>
    <w:basedOn w:val="Normal"/>
    <w:link w:val="DocumentMapChar"/>
    <w:rsid w:val="001C0203"/>
    <w:pPr>
      <w:shd w:color="auto" w:fill="000080" w:val="clear"/>
    </w:pPr>
    <w:rPr>
      <w:rFonts w:ascii="Tahoma" w:cs="Tahoma" w:hAnsi="Tahoma"/>
    </w:rPr>
  </w:style>
  <w:style w:type="character" w:styleId="DocumentMapChar" w:customStyle="1">
    <w:name w:val="Document Map Char"/>
    <w:basedOn w:val="DefaultParagraphFont"/>
    <w:link w:val="DocumentMap"/>
    <w:locked w:val="1"/>
    <w:rsid w:val="008853C0"/>
    <w:rPr>
      <w:rFonts w:ascii="Tahoma" w:cs="Tahoma" w:hAnsi="Tahoma"/>
      <w:sz w:val="20"/>
      <w:szCs w:val="20"/>
      <w:shd w:color="auto" w:fill="000080" w:val="clear"/>
    </w:rPr>
  </w:style>
  <w:style w:type="character" w:styleId="EndnoteReference">
    <w:name w:val="endnote reference"/>
    <w:basedOn w:val="DefaultParagraphFont"/>
    <w:rsid w:val="001C0203"/>
    <w:rPr>
      <w:vertAlign w:val="superscript"/>
    </w:rPr>
  </w:style>
  <w:style w:type="paragraph" w:styleId="EndnoteText">
    <w:name w:val="endnote text"/>
    <w:basedOn w:val="Normal"/>
    <w:link w:val="EndnoteTextChar"/>
    <w:rsid w:val="001C0203"/>
  </w:style>
  <w:style w:type="character" w:styleId="EndnoteTextChar" w:customStyle="1">
    <w:name w:val="Endnote Text Char"/>
    <w:basedOn w:val="DefaultParagraphFont"/>
    <w:link w:val="EndnoteText"/>
    <w:locked w:val="1"/>
    <w:rsid w:val="008853C0"/>
    <w:rPr>
      <w:rFonts w:ascii="Book Antiqua" w:hAnsi="Book Antiqua"/>
      <w:sz w:val="20"/>
      <w:szCs w:val="20"/>
    </w:rPr>
  </w:style>
  <w:style w:type="character" w:styleId="FootnoteReference">
    <w:name w:val="footnote reference"/>
    <w:basedOn w:val="DefaultParagraphFont"/>
    <w:rsid w:val="001C0203"/>
    <w:rPr>
      <w:vertAlign w:val="superscript"/>
    </w:rPr>
  </w:style>
  <w:style w:type="paragraph" w:styleId="FootnoteText">
    <w:name w:val="footnote text"/>
    <w:basedOn w:val="Normal"/>
    <w:link w:val="FootnoteTextChar"/>
    <w:rsid w:val="001C0203"/>
    <w:pPr>
      <w:tabs>
        <w:tab w:val="left" w:pos="284"/>
      </w:tabs>
      <w:spacing w:after="0" w:line="240" w:lineRule="auto"/>
      <w:ind w:left="284" w:hanging="284"/>
    </w:pPr>
    <w:rPr>
      <w:sz w:val="18"/>
    </w:rPr>
  </w:style>
  <w:style w:type="character" w:styleId="FootnoteTextChar" w:customStyle="1">
    <w:name w:val="Footnote Text Char"/>
    <w:basedOn w:val="DefaultParagraphFont"/>
    <w:link w:val="FootnoteText"/>
    <w:locked w:val="1"/>
    <w:rsid w:val="008853C0"/>
    <w:rPr>
      <w:rFonts w:ascii="Book Antiqua" w:hAnsi="Book Antiqua"/>
      <w:sz w:val="18"/>
      <w:szCs w:val="20"/>
    </w:rPr>
  </w:style>
  <w:style w:type="paragraph" w:styleId="Index1">
    <w:name w:val="index 1"/>
    <w:basedOn w:val="Normal"/>
    <w:next w:val="Normal"/>
    <w:autoRedefine w:val="1"/>
    <w:rsid w:val="001C0203"/>
    <w:pPr>
      <w:ind w:left="200" w:hanging="200"/>
    </w:pPr>
  </w:style>
  <w:style w:type="paragraph" w:styleId="Index2">
    <w:name w:val="index 2"/>
    <w:basedOn w:val="Normal"/>
    <w:next w:val="Normal"/>
    <w:autoRedefine w:val="1"/>
    <w:rsid w:val="001C0203"/>
    <w:pPr>
      <w:ind w:left="400" w:hanging="200"/>
    </w:pPr>
  </w:style>
  <w:style w:type="paragraph" w:styleId="Index3">
    <w:name w:val="index 3"/>
    <w:basedOn w:val="Normal"/>
    <w:next w:val="Normal"/>
    <w:autoRedefine w:val="1"/>
    <w:rsid w:val="001C0203"/>
    <w:pPr>
      <w:ind w:left="600" w:hanging="200"/>
    </w:pPr>
  </w:style>
  <w:style w:type="paragraph" w:styleId="Index4">
    <w:name w:val="index 4"/>
    <w:basedOn w:val="Normal"/>
    <w:next w:val="Normal"/>
    <w:autoRedefine w:val="1"/>
    <w:rsid w:val="001C0203"/>
    <w:pPr>
      <w:ind w:left="800" w:hanging="200"/>
    </w:pPr>
  </w:style>
  <w:style w:type="paragraph" w:styleId="Index5">
    <w:name w:val="index 5"/>
    <w:basedOn w:val="Normal"/>
    <w:next w:val="Normal"/>
    <w:autoRedefine w:val="1"/>
    <w:rsid w:val="001C0203"/>
    <w:pPr>
      <w:ind w:left="1000" w:hanging="200"/>
    </w:pPr>
  </w:style>
  <w:style w:type="paragraph" w:styleId="Index6">
    <w:name w:val="index 6"/>
    <w:basedOn w:val="Normal"/>
    <w:next w:val="Normal"/>
    <w:autoRedefine w:val="1"/>
    <w:rsid w:val="001C0203"/>
    <w:pPr>
      <w:ind w:left="1200" w:hanging="200"/>
    </w:pPr>
  </w:style>
  <w:style w:type="paragraph" w:styleId="Index7">
    <w:name w:val="index 7"/>
    <w:basedOn w:val="Normal"/>
    <w:next w:val="Normal"/>
    <w:autoRedefine w:val="1"/>
    <w:rsid w:val="001C0203"/>
    <w:pPr>
      <w:ind w:left="1400" w:hanging="200"/>
    </w:pPr>
  </w:style>
  <w:style w:type="paragraph" w:styleId="Index8">
    <w:name w:val="index 8"/>
    <w:basedOn w:val="Normal"/>
    <w:next w:val="Normal"/>
    <w:autoRedefine w:val="1"/>
    <w:rsid w:val="001C0203"/>
    <w:pPr>
      <w:ind w:left="1600" w:hanging="200"/>
    </w:pPr>
  </w:style>
  <w:style w:type="paragraph" w:styleId="Index9">
    <w:name w:val="index 9"/>
    <w:basedOn w:val="Normal"/>
    <w:next w:val="Normal"/>
    <w:autoRedefine w:val="1"/>
    <w:rsid w:val="001C0203"/>
    <w:pPr>
      <w:ind w:left="1800" w:hanging="200"/>
    </w:pPr>
  </w:style>
  <w:style w:type="paragraph" w:styleId="IndexHeading">
    <w:name w:val="index heading"/>
    <w:basedOn w:val="Normal"/>
    <w:next w:val="Index1"/>
    <w:rsid w:val="001C0203"/>
    <w:rPr>
      <w:rFonts w:ascii="Arial" w:cs="Arial" w:hAnsi="Arial"/>
      <w:b w:val="1"/>
      <w:bCs w:val="1"/>
    </w:rPr>
  </w:style>
  <w:style w:type="paragraph" w:styleId="MacroText">
    <w:name w:val="macro"/>
    <w:link w:val="MacroTextChar"/>
    <w:rsid w:val="001C020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cs="Courier New" w:hAnsi="Courier New"/>
    </w:rPr>
  </w:style>
  <w:style w:type="character" w:styleId="MacroTextChar" w:customStyle="1">
    <w:name w:val="Macro Text Char"/>
    <w:basedOn w:val="DefaultParagraphFont"/>
    <w:link w:val="MacroText"/>
    <w:locked w:val="1"/>
    <w:rsid w:val="008853C0"/>
    <w:rPr>
      <w:rFonts w:ascii="Courier New" w:cs="Courier New" w:hAnsi="Courier New"/>
      <w:lang w:bidi="ar-SA" w:eastAsia="en-AU" w:val="en-AU"/>
    </w:rPr>
  </w:style>
  <w:style w:type="paragraph" w:styleId="TableofAuthorities">
    <w:name w:val="table of authorities"/>
    <w:basedOn w:val="Normal"/>
    <w:next w:val="Normal"/>
    <w:rsid w:val="001C0203"/>
    <w:pPr>
      <w:ind w:left="200" w:hanging="200"/>
    </w:pPr>
  </w:style>
  <w:style w:type="paragraph" w:styleId="TableofFigures">
    <w:name w:val="table of figures"/>
    <w:basedOn w:val="Normal"/>
    <w:next w:val="Normal"/>
    <w:rsid w:val="001C0203"/>
  </w:style>
  <w:style w:type="paragraph" w:styleId="TOAHeading">
    <w:name w:val="toa heading"/>
    <w:basedOn w:val="Normal"/>
    <w:next w:val="Normal"/>
    <w:rsid w:val="001C0203"/>
    <w:pPr>
      <w:spacing w:before="120"/>
    </w:pPr>
    <w:rPr>
      <w:rFonts w:ascii="Arial" w:cs="Arial" w:hAnsi="Arial"/>
      <w:b w:val="1"/>
      <w:bCs w:val="1"/>
      <w:sz w:val="24"/>
      <w:szCs w:val="24"/>
    </w:rPr>
  </w:style>
  <w:style w:type="paragraph" w:styleId="TOC3">
    <w:name w:val="toc 3"/>
    <w:basedOn w:val="HeadingBase"/>
    <w:next w:val="Normal"/>
    <w:locked w:val="1"/>
    <w:rsid w:val="001C0203"/>
    <w:pPr>
      <w:tabs>
        <w:tab w:val="right" w:leader="dot" w:pos="7700"/>
      </w:tabs>
      <w:spacing w:before="180"/>
      <w:ind w:right="851"/>
    </w:pPr>
    <w:rPr>
      <w:b w:val="1"/>
      <w:sz w:val="20"/>
    </w:rPr>
  </w:style>
  <w:style w:type="paragraph" w:styleId="TOC4">
    <w:name w:val="toc 4"/>
    <w:basedOn w:val="HeadingBase"/>
    <w:next w:val="Normal"/>
    <w:locked w:val="1"/>
    <w:rsid w:val="001C0203"/>
    <w:pPr>
      <w:tabs>
        <w:tab w:val="right" w:leader="dot" w:pos="7700"/>
      </w:tabs>
      <w:spacing w:before="40"/>
      <w:ind w:right="851"/>
    </w:pPr>
    <w:rPr>
      <w:sz w:val="20"/>
    </w:rPr>
  </w:style>
  <w:style w:type="paragraph" w:styleId="TOC5">
    <w:name w:val="toc 5"/>
    <w:basedOn w:val="Normal"/>
    <w:next w:val="Normal"/>
    <w:autoRedefine w:val="1"/>
    <w:locked w:val="1"/>
    <w:rsid w:val="001C0203"/>
    <w:pPr>
      <w:ind w:left="800"/>
    </w:pPr>
  </w:style>
  <w:style w:type="paragraph" w:styleId="TOC6">
    <w:name w:val="toc 6"/>
    <w:basedOn w:val="Normal"/>
    <w:next w:val="Normal"/>
    <w:autoRedefine w:val="1"/>
    <w:locked w:val="1"/>
    <w:rsid w:val="001C0203"/>
    <w:pPr>
      <w:ind w:left="1000"/>
    </w:pPr>
  </w:style>
  <w:style w:type="paragraph" w:styleId="TOC7">
    <w:name w:val="toc 7"/>
    <w:basedOn w:val="Normal"/>
    <w:next w:val="Normal"/>
    <w:autoRedefine w:val="1"/>
    <w:locked w:val="1"/>
    <w:rsid w:val="001C0203"/>
    <w:pPr>
      <w:ind w:left="1200"/>
    </w:pPr>
  </w:style>
  <w:style w:type="paragraph" w:styleId="TOC8">
    <w:name w:val="toc 8"/>
    <w:basedOn w:val="Normal"/>
    <w:next w:val="Normal"/>
    <w:autoRedefine w:val="1"/>
    <w:locked w:val="1"/>
    <w:rsid w:val="001C0203"/>
    <w:pPr>
      <w:ind w:left="1400"/>
    </w:pPr>
  </w:style>
  <w:style w:type="paragraph" w:styleId="TOC9">
    <w:name w:val="toc 9"/>
    <w:basedOn w:val="Normal"/>
    <w:next w:val="Normal"/>
    <w:autoRedefine w:val="1"/>
    <w:locked w:val="1"/>
    <w:rsid w:val="001C0203"/>
    <w:pPr>
      <w:ind w:left="1600"/>
    </w:pPr>
  </w:style>
  <w:style w:type="character" w:styleId="FramedHeader" w:customStyle="1">
    <w:name w:val="Framed Header"/>
    <w:basedOn w:val="DefaultParagraphFont"/>
    <w:rsid w:val="001C0203"/>
    <w:rPr>
      <w:rFonts w:ascii="Book Antiqua" w:hAnsi="Book Antiqua"/>
      <w:i w:val="1"/>
      <w:dstrike w:val="0"/>
      <w:color w:val="auto"/>
      <w:sz w:val="18"/>
      <w:vertAlign w:val="baseline"/>
    </w:rPr>
  </w:style>
  <w:style w:type="paragraph" w:styleId="NormalIndent">
    <w:name w:val="Normal Indent"/>
    <w:basedOn w:val="Normal"/>
    <w:uiPriority w:val="99"/>
    <w:rsid w:val="001C0203"/>
    <w:pPr>
      <w:ind w:left="567"/>
    </w:pPr>
  </w:style>
  <w:style w:type="paragraph" w:styleId="BlockedQuotation" w:customStyle="1">
    <w:name w:val="Blocked Quotation"/>
    <w:basedOn w:val="Normal"/>
    <w:rsid w:val="001C0203"/>
    <w:pPr>
      <w:ind w:left="567"/>
    </w:pPr>
  </w:style>
  <w:style w:type="paragraph" w:styleId="ChartMainHeading" w:customStyle="1">
    <w:name w:val="Chart Main Heading"/>
    <w:basedOn w:val="Normal"/>
    <w:next w:val="ChartGraphic"/>
    <w:rsid w:val="001C0203"/>
    <w:pPr>
      <w:keepNext w:val="1"/>
      <w:spacing w:after="20" w:before="120" w:line="240" w:lineRule="auto"/>
      <w:jc w:val="center"/>
    </w:pPr>
    <w:rPr>
      <w:rFonts w:ascii="Arial Bold" w:hAnsi="Arial Bold"/>
      <w:b w:val="1"/>
    </w:rPr>
  </w:style>
  <w:style w:type="paragraph" w:styleId="BoxHeadingContinued" w:customStyle="1">
    <w:name w:val="Box Heading Continued"/>
    <w:basedOn w:val="BoxHeading"/>
    <w:rsid w:val="001C0203"/>
    <w:pPr>
      <w:pageBreakBefore w:val="1"/>
    </w:pPr>
  </w:style>
  <w:style w:type="paragraph" w:styleId="SecurityClassificationHeader" w:customStyle="1">
    <w:name w:val="Security Classification Header"/>
    <w:link w:val="SecurityClassificationHeaderChar"/>
    <w:rsid w:val="00097846"/>
    <w:pPr>
      <w:spacing w:after="240"/>
      <w:jc w:val="center"/>
    </w:pPr>
    <w:rPr>
      <w:b w:val="1"/>
      <w:i w:val="1"/>
      <w:caps w:val="1"/>
      <w:sz w:val="24"/>
    </w:rPr>
  </w:style>
  <w:style w:type="character" w:styleId="SecurityClassificationHeaderChar" w:customStyle="1">
    <w:name w:val="Security Classification Header Char"/>
    <w:basedOn w:val="HeaderChar"/>
    <w:link w:val="SecurityClassificationHeader"/>
    <w:rsid w:val="00097846"/>
    <w:rPr>
      <w:rFonts w:ascii="Book Antiqua" w:hAnsi="Book Antiqua"/>
      <w:b w:val="1"/>
      <w:i w:val="1"/>
      <w:caps w:val="1"/>
      <w:sz w:val="24"/>
      <w:szCs w:val="20"/>
      <w:lang w:bidi="ar-SA" w:eastAsia="en-AU" w:val="en-AU"/>
    </w:rPr>
  </w:style>
  <w:style w:type="character" w:styleId="DoubleDotChar" w:customStyle="1">
    <w:name w:val="Double Dot Char"/>
    <w:basedOn w:val="DefaultParagraphFont"/>
    <w:link w:val="DoubleDot"/>
    <w:rsid w:val="00821CEA"/>
    <w:rPr>
      <w:rFonts w:ascii="Book Antiqua" w:hAnsi="Book Antiqua"/>
      <w:sz w:val="20"/>
      <w:szCs w:val="20"/>
    </w:rPr>
  </w:style>
  <w:style w:type="numbering" w:styleId="CABNETList1" w:customStyle="1">
    <w:name w:val="CABNET List1"/>
    <w:rsid w:val="00821CEA"/>
    <w:pPr>
      <w:numPr>
        <w:numId w:val="21"/>
      </w:numPr>
    </w:pPr>
  </w:style>
  <w:style w:type="character" w:styleId="BulletChar" w:customStyle="1">
    <w:name w:val="Bullet Char"/>
    <w:basedOn w:val="DefaultParagraphFont"/>
    <w:link w:val="Bullet"/>
    <w:rsid w:val="00BC1DF0"/>
    <w:rPr>
      <w:rFonts w:ascii="Book Antiqua" w:hAnsi="Book Antiqua"/>
    </w:rPr>
  </w:style>
  <w:style w:type="paragraph" w:styleId="OutlineNumbered1" w:customStyle="1">
    <w:name w:val="Outline Numbered 1"/>
    <w:basedOn w:val="Normal"/>
    <w:rsid w:val="009F3476"/>
    <w:pPr>
      <w:numPr>
        <w:numId w:val="24"/>
      </w:numPr>
      <w:spacing w:line="240" w:lineRule="auto"/>
      <w:jc w:val="left"/>
    </w:pPr>
    <w:rPr>
      <w:rFonts w:ascii="Calibri" w:eastAsia="Calibri" w:hAnsi="Calibri"/>
      <w:sz w:val="22"/>
      <w:szCs w:val="22"/>
      <w:lang w:eastAsia="en-US"/>
    </w:rPr>
  </w:style>
  <w:style w:type="paragraph" w:styleId="OutlineNumbered2" w:customStyle="1">
    <w:name w:val="Outline Numbered 2"/>
    <w:basedOn w:val="Normal"/>
    <w:rsid w:val="009F3476"/>
    <w:pPr>
      <w:numPr>
        <w:ilvl w:val="1"/>
        <w:numId w:val="24"/>
      </w:numPr>
      <w:spacing w:line="240" w:lineRule="auto"/>
      <w:jc w:val="left"/>
    </w:pPr>
    <w:rPr>
      <w:rFonts w:ascii="Calibri" w:eastAsia="Calibri" w:hAnsi="Calibri"/>
      <w:sz w:val="22"/>
      <w:szCs w:val="22"/>
      <w:lang w:eastAsia="en-US"/>
    </w:rPr>
  </w:style>
  <w:style w:type="paragraph" w:styleId="OutlineNumbered3" w:customStyle="1">
    <w:name w:val="Outline Numbered 3"/>
    <w:basedOn w:val="Normal"/>
    <w:link w:val="OutlineNumbered3Char"/>
    <w:rsid w:val="009F3476"/>
    <w:pPr>
      <w:numPr>
        <w:ilvl w:val="2"/>
        <w:numId w:val="24"/>
      </w:numPr>
      <w:spacing w:line="240" w:lineRule="auto"/>
      <w:jc w:val="left"/>
    </w:pPr>
    <w:rPr>
      <w:rFonts w:ascii="Calibri" w:eastAsia="Calibri" w:hAnsi="Calibri"/>
      <w:sz w:val="22"/>
      <w:szCs w:val="22"/>
      <w:lang w:eastAsia="en-US"/>
    </w:rPr>
  </w:style>
  <w:style w:type="character" w:styleId="OutlineNumbered3Char" w:customStyle="1">
    <w:name w:val="Outline Numbered 3 Char"/>
    <w:basedOn w:val="BulletChar"/>
    <w:link w:val="OutlineNumbered3"/>
    <w:rsid w:val="009F3476"/>
    <w:rPr>
      <w:rFonts w:ascii="Calibri" w:eastAsia="Calibri" w:hAnsi="Calibri"/>
      <w:sz w:val="20"/>
      <w:szCs w:val="20"/>
      <w:lang w:eastAsia="en-US"/>
    </w:rPr>
  </w:style>
  <w:style w:type="paragraph" w:styleId="Revision">
    <w:name w:val="Revision"/>
    <w:hidden w:val="1"/>
    <w:uiPriority w:val="99"/>
    <w:semiHidden w:val="1"/>
    <w:rsid w:val="00DD3DB3"/>
    <w:rPr>
      <w:rFonts w:ascii="Book Antiqua" w:hAnsi="Book Antiqua"/>
    </w:rPr>
  </w:style>
  <w:style w:type="paragraph" w:styleId="measure-title1" w:customStyle="1">
    <w:name w:val="measure-title1"/>
    <w:basedOn w:val="Normal"/>
    <w:rsid w:val="00DD2B2E"/>
    <w:pPr>
      <w:spacing w:before="480" w:line="336" w:lineRule="atLeast"/>
    </w:pPr>
    <w:rPr>
      <w:rFonts w:ascii="Times New Roman" w:hAnsi="Times New Roman"/>
      <w:b w:val="1"/>
      <w:bCs w:val="1"/>
      <w:sz w:val="23"/>
      <w:szCs w:val="23"/>
    </w:rPr>
  </w:style>
  <w:style w:type="table" w:styleId="TableGrid1" w:customStyle="1">
    <w:name w:val="Table Grid1"/>
    <w:basedOn w:val="TableNormal"/>
    <w:next w:val="TableGrid"/>
    <w:uiPriority w:val="59"/>
    <w:rsid w:val="005321F5"/>
    <w:rPr>
      <w:rFonts w:ascii="Calibri"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373FE"/>
    <w:pPr>
      <w:autoSpaceDE w:val="0"/>
      <w:autoSpaceDN w:val="0"/>
      <w:adjustRightInd w:val="0"/>
    </w:pPr>
    <w:rPr>
      <w:rFonts w:ascii="Book Antiqua" w:cs="Book Antiqua" w:hAnsi="Book Antiqua"/>
      <w:color w:val="000000"/>
      <w:sz w:val="24"/>
      <w:szCs w:val="24"/>
    </w:rPr>
  </w:style>
  <w:style w:type="character" w:styleId="Strong">
    <w:name w:val="Strong"/>
    <w:basedOn w:val="DefaultParagraphFont"/>
    <w:uiPriority w:val="22"/>
    <w:qFormat w:val="1"/>
    <w:locked w:val="1"/>
    <w:rsid w:val="00946EFC"/>
    <w:rPr>
      <w:b w:val="1"/>
      <w:bCs w:val="1"/>
    </w:rPr>
  </w:style>
  <w:style w:type="character" w:styleId="Hyperlink">
    <w:name w:val="Hyperlink"/>
    <w:basedOn w:val="DefaultParagraphFont"/>
    <w:uiPriority w:val="99"/>
    <w:unhideWhenUsed w:val="1"/>
    <w:rsid w:val="00EA516E"/>
    <w:rPr>
      <w:color w:val="0000ff"/>
      <w:u w:val="single"/>
    </w:rPr>
  </w:style>
  <w:style w:type="paragraph" w:styleId="NormalWeb">
    <w:name w:val="Normal (Web)"/>
    <w:basedOn w:val="Normal"/>
    <w:uiPriority w:val="99"/>
    <w:semiHidden w:val="1"/>
    <w:unhideWhenUsed w:val="1"/>
    <w:rsid w:val="00EA516E"/>
    <w:pPr>
      <w:spacing w:after="100" w:afterAutospacing="1" w:before="100" w:beforeAutospacing="1" w:line="240" w:lineRule="auto"/>
      <w:jc w:val="left"/>
    </w:pPr>
    <w:rPr>
      <w:rFonts w:ascii="Times New Roman" w:hAnsi="Times New Roman"/>
      <w:sz w:val="24"/>
      <w:szCs w:val="24"/>
    </w:rPr>
  </w:style>
  <w:style w:type="paragraph" w:styleId="ListParagraph">
    <w:name w:val="List Paragraph"/>
    <w:basedOn w:val="Normal"/>
    <w:uiPriority w:val="34"/>
    <w:qFormat w:val="1"/>
    <w:rsid w:val="0096410D"/>
    <w:pPr>
      <w:ind w:left="720"/>
      <w:contextualSpacing w:val="1"/>
    </w:pPr>
  </w:style>
  <w:style w:type="character" w:styleId="FollowedHyperlink">
    <w:name w:val="FollowedHyperlink"/>
    <w:basedOn w:val="DefaultParagraphFont"/>
    <w:uiPriority w:val="99"/>
    <w:semiHidden w:val="1"/>
    <w:unhideWhenUsed w:val="1"/>
    <w:rsid w:val="003C3C3E"/>
    <w:rPr>
      <w:color w:val="800080" w:themeColor="followedHyperlink"/>
      <w:u w:val="single"/>
    </w:rPr>
  </w:style>
  <w:style w:type="paragraph" w:styleId="Text" w:customStyle="1">
    <w:name w:val="Text"/>
    <w:basedOn w:val="Normal"/>
    <w:link w:val="TextChar"/>
    <w:qFormat w:val="1"/>
    <w:rsid w:val="005E1308"/>
    <w:pPr>
      <w:spacing w:after="0" w:line="240" w:lineRule="auto"/>
      <w:jc w:val="left"/>
    </w:pPr>
    <w:rPr>
      <w:rFonts w:ascii="Verdana" w:hAnsi="Verdana" w:cstheme="minorBidi" w:eastAsiaTheme="minorHAnsi"/>
      <w:lang w:eastAsia="en-US"/>
    </w:rPr>
  </w:style>
  <w:style w:type="paragraph" w:styleId="Headings" w:customStyle="1">
    <w:name w:val="Headings"/>
    <w:basedOn w:val="Text"/>
    <w:link w:val="HeadingsChar"/>
    <w:qFormat w:val="1"/>
    <w:rsid w:val="005E1308"/>
    <w:rPr>
      <w:b w:val="1"/>
      <w:szCs w:val="24"/>
    </w:rPr>
  </w:style>
  <w:style w:type="character" w:styleId="TextChar" w:customStyle="1">
    <w:name w:val="Text Char"/>
    <w:basedOn w:val="DefaultParagraphFont"/>
    <w:link w:val="Text"/>
    <w:rsid w:val="005E1308"/>
    <w:rPr>
      <w:rFonts w:ascii="Verdana" w:hAnsi="Verdana" w:cstheme="minorBidi" w:eastAsiaTheme="minorHAnsi"/>
      <w:lang w:eastAsia="en-US"/>
    </w:rPr>
  </w:style>
  <w:style w:type="character" w:styleId="HeadingsChar" w:customStyle="1">
    <w:name w:val="Headings Char"/>
    <w:basedOn w:val="TextChar"/>
    <w:link w:val="Headings"/>
    <w:rsid w:val="005E1308"/>
    <w:rPr>
      <w:rFonts w:ascii="Verdana" w:hAnsi="Verdana" w:cstheme="minorBidi" w:eastAsiaTheme="minorHAnsi"/>
      <w:b w:val="1"/>
      <w:szCs w:val="24"/>
      <w:lang w:eastAsia="en-US"/>
    </w:rPr>
  </w:style>
  <w:style w:type="paragraph" w:styleId="Table-RowHeadings" w:customStyle="1">
    <w:name w:val="Table - Row Headings"/>
    <w:basedOn w:val="Normal"/>
    <w:link w:val="Table-RowHeadingsChar"/>
    <w:qFormat w:val="1"/>
    <w:rsid w:val="005E1308"/>
    <w:pPr>
      <w:spacing w:after="0" w:line="240" w:lineRule="auto"/>
      <w:jc w:val="left"/>
    </w:pPr>
    <w:rPr>
      <w:rFonts w:ascii="Verdana" w:hAnsi="Verdana" w:cstheme="minorBidi" w:eastAsiaTheme="minorHAnsi"/>
      <w:lang w:eastAsia="en-US"/>
    </w:rPr>
  </w:style>
  <w:style w:type="paragraph" w:styleId="Table-YearlyColumnHeadings" w:customStyle="1">
    <w:name w:val="Table - Yearly Column Headings"/>
    <w:basedOn w:val="Table-RowHeadings"/>
    <w:link w:val="Table-YearlyColumnHeadingsChar"/>
    <w:qFormat w:val="1"/>
    <w:rsid w:val="005E1308"/>
    <w:pPr>
      <w:jc w:val="right"/>
    </w:pPr>
  </w:style>
  <w:style w:type="character" w:styleId="Table-RowHeadingsChar" w:customStyle="1">
    <w:name w:val="Table - Row Headings Char"/>
    <w:basedOn w:val="DefaultParagraphFont"/>
    <w:link w:val="Table-RowHeadings"/>
    <w:rsid w:val="005E1308"/>
    <w:rPr>
      <w:rFonts w:ascii="Verdana" w:hAnsi="Verdana" w:cstheme="minorBidi" w:eastAsiaTheme="minorHAnsi"/>
      <w:lang w:eastAsia="en-US"/>
    </w:rPr>
  </w:style>
  <w:style w:type="paragraph" w:styleId="Tablefigures" w:customStyle="1">
    <w:name w:val="Table figures"/>
    <w:basedOn w:val="Normal"/>
    <w:link w:val="TablefiguresChar"/>
    <w:qFormat w:val="1"/>
    <w:rsid w:val="005E1308"/>
    <w:pPr>
      <w:spacing w:after="0" w:line="240" w:lineRule="auto"/>
      <w:jc w:val="right"/>
    </w:pPr>
    <w:rPr>
      <w:rFonts w:ascii="Verdana" w:hAnsi="Verdana" w:cstheme="minorBidi" w:eastAsiaTheme="minorHAnsi"/>
      <w:sz w:val="18"/>
      <w:szCs w:val="18"/>
      <w:lang w:eastAsia="en-US"/>
    </w:rPr>
  </w:style>
  <w:style w:type="character" w:styleId="Table-YearlyColumnHeadingsChar" w:customStyle="1">
    <w:name w:val="Table - Yearly Column Headings Char"/>
    <w:basedOn w:val="Table-RowHeadingsChar"/>
    <w:link w:val="Table-YearlyColumnHeadings"/>
    <w:rsid w:val="005E1308"/>
    <w:rPr>
      <w:rFonts w:ascii="Verdana" w:hAnsi="Verdana" w:cstheme="minorBidi" w:eastAsiaTheme="minorHAnsi"/>
      <w:lang w:eastAsia="en-US"/>
    </w:rPr>
  </w:style>
  <w:style w:type="character" w:styleId="TablefiguresChar" w:customStyle="1">
    <w:name w:val="Table figures Char"/>
    <w:basedOn w:val="DefaultParagraphFont"/>
    <w:link w:val="Tablefigures"/>
    <w:rsid w:val="005E1308"/>
    <w:rPr>
      <w:rFonts w:ascii="Verdana" w:hAnsi="Verdana" w:cstheme="minorBidi" w:eastAsiaTheme="minorHAnsi"/>
      <w:sz w:val="18"/>
      <w:szCs w:val="18"/>
      <w:lang w:eastAsia="en-US"/>
    </w:rPr>
  </w:style>
  <w:style w:type="paragraph" w:styleId="Notes" w:customStyle="1">
    <w:name w:val="Notes"/>
    <w:basedOn w:val="ChartandTableFootnoteAlpha"/>
    <w:link w:val="NotesChar"/>
    <w:qFormat w:val="1"/>
    <w:rsid w:val="005E1308"/>
    <w:pPr>
      <w:numPr>
        <w:numId w:val="0"/>
      </w:numPr>
      <w:tabs>
        <w:tab w:val="num" w:pos="283"/>
      </w:tabs>
      <w:ind w:left="283" w:hanging="283"/>
    </w:pPr>
    <w:rPr>
      <w:rFonts w:ascii="Verdana" w:hAnsi="Verdana"/>
    </w:rPr>
  </w:style>
  <w:style w:type="character" w:styleId="NotesChar" w:customStyle="1">
    <w:name w:val="Notes Char"/>
    <w:basedOn w:val="DefaultParagraphFont"/>
    <w:link w:val="Notes"/>
    <w:rsid w:val="005E1308"/>
    <w:rPr>
      <w:rFonts w:ascii="Verdana" w:hAnsi="Verdana"/>
      <w:sz w:val="16"/>
    </w:rPr>
  </w:style>
  <w:style w:type="paragraph" w:styleId="PageHeading" w:customStyle="1">
    <w:name w:val="Page Heading"/>
    <w:basedOn w:val="Normal"/>
    <w:qFormat w:val="1"/>
    <w:rsid w:val="005E1308"/>
    <w:pPr>
      <w:spacing w:after="200" w:line="276" w:lineRule="auto"/>
      <w:jc w:val="center"/>
    </w:pPr>
    <w:rPr>
      <w:rFonts w:ascii="Verdana" w:hAnsi="Verdana"/>
      <w:b w:val="1"/>
      <w:sz w:val="32"/>
    </w:rPr>
  </w:style>
  <w:style w:type="paragraph" w:styleId="TextItalicised" w:customStyle="1">
    <w:name w:val="Text Italicised"/>
    <w:basedOn w:val="Normal"/>
    <w:link w:val="TextItalicisedChar"/>
    <w:qFormat w:val="1"/>
    <w:rsid w:val="005E1308"/>
    <w:pPr>
      <w:spacing w:after="0" w:line="240" w:lineRule="auto"/>
      <w:jc w:val="left"/>
    </w:pPr>
    <w:rPr>
      <w:rFonts w:ascii="Verdana" w:hAnsi="Verdana" w:cstheme="minorBidi" w:eastAsiaTheme="minorHAnsi"/>
      <w:i w:val="1"/>
      <w:iCs w:val="1"/>
      <w:lang w:eastAsia="en-US"/>
    </w:rPr>
  </w:style>
  <w:style w:type="character" w:styleId="TextItalicisedChar" w:customStyle="1">
    <w:name w:val="Text Italicised Char"/>
    <w:basedOn w:val="DefaultParagraphFont"/>
    <w:link w:val="TextItalicised"/>
    <w:rsid w:val="005E1308"/>
    <w:rPr>
      <w:rFonts w:ascii="Verdana" w:hAnsi="Verdana" w:cstheme="minorBidi" w:eastAsiaTheme="minorHAnsi"/>
      <w:i w:val="1"/>
      <w:i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www.liberal.org.au/latest-news/2022/05/15/harnessing-super-realise-australian-dream-home-ownership" TargetMode="Externa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iberal.org.au/latest-news/2022/05/15/housing-supply-boost-greater-financial-choice-empty-nesters-and-pensioners"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electioncostings.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JdYM9aNqfjsgcg4+2AKqeksGw==">AMUW2mWFR3C1GUHA2FUQ/ZzryRQN4NS064ZR9BbjVOQvu0bBG0PIk5NFPxb/cBEfa6K/M0hg4rBxs5NpAWRdXiA4pboY+JOKBsguJnw97T94MYf2wwVXGv0Z1TUpC+rsag5ZsnL3qfX1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CBB09F3E7419694A957E1A5A78204E4D" ma:contentTypeVersion="184" ma:contentTypeDescription="Create a new document." ma:contentTypeScope="" ma:versionID="6718d0d96d90040068238bb7e07b49a4">
  <xsd:schema xmlns:xsd="http://www.w3.org/2001/XMLSchema" xmlns:xs="http://www.w3.org/2001/XMLSchema" xmlns:p="http://schemas.microsoft.com/office/2006/metadata/properties" xmlns:ns1="http://schemas.microsoft.com/sharepoint/v3" xmlns:ns2="82ff9d9b-d3fc-4aad-bc42-9949ee83b815" xmlns:ns3="06f25368-99a9-4d72-b586-c08ad003de0b" targetNamespace="http://schemas.microsoft.com/office/2006/metadata/properties" ma:root="true" ma:fieldsID="1bbee582323605d5035a966cceb70fd5" ns1:_="" ns2:_="" ns3:_="">
    <xsd:import namespace="http://schemas.microsoft.com/sharepoint/v3"/>
    <xsd:import namespace="82ff9d9b-d3fc-4aad-bc42-9949ee83b815"/>
    <xsd:import namespace="06f25368-99a9-4d72-b586-c08ad003de0b"/>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69c4831-fe9b-4d8e-89c7-36409b187116}" ma:internalName="TaxCatchAll" ma:showField="CatchAllData"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69c4831-fe9b-4d8e-89c7-36409b187116}" ma:internalName="TaxCatchAllLabel" ma:readOnly="true" ma:showField="CatchAllDataLabel" ma:web="06f25368-99a9-4d72-b586-c08ad003de0b">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f25368-99a9-4d72-b586-c08ad003de0b"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Budget Policy and Coordination</TermName>
          <TermId xmlns="http://schemas.microsoft.com/office/infopath/2007/PartnerControls">17ee49bf-b5ad-4a1d-82f9-550fc395193a</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SecClass xmlns="82ff9d9b-d3fc-4aad-bc42-9949ee83b815">OFFICIAL</SecClass>
    <Original_x0020_Date_x0020_Created xmlns="82ff9d9b-d3fc-4aad-bc42-9949ee83b815" xsi:nil="true"/>
    <RelatedItems xmlns="http://schemas.microsoft.com/sharepoint/v3" xsi:nil="true"/>
    <LMName xmlns="82ff9d9b-d3fc-4aad-bc42-9949ee83b815" xsi:nil="true"/>
    <_dlc_DocId xmlns="06f25368-99a9-4d72-b586-c08ad003de0b">FIN33527-1747701680-103082</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06f25368-99a9-4d72-b586-c08ad003de0b">
      <Url>https://f1.prdmgd.finance.gov.au/sites/50033527/_layouts/15/DocIdRedir.aspx?ID=FIN33527-1747701680-103082</Url>
      <Description>FIN33527-1747701680-103082</Description>
    </_dlc_DocIdUrl>
    <TaxKeywordTaxHTField xmlns="82ff9d9b-d3fc-4aad-bc42-9949ee83b815">
      <Terms xmlns="http://schemas.microsoft.com/office/infopath/2007/PartnerControls"/>
    </TaxKeywordTaxHTField>
    <LastModDate xmlns="82ff9d9b-d3fc-4aad-bc42-9949ee83b81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C4F4C72-0CA4-4292-8BAF-283349768047}"/>
</file>

<file path=customXML/itemProps3.xml><?xml version="1.0" encoding="utf-8"?>
<ds:datastoreItem xmlns:ds="http://schemas.openxmlformats.org/officeDocument/2006/customXml" ds:itemID="{BB4D447B-6ACB-43D6-9BD4-76C6CF38474B}"/>
</file>

<file path=customXML/itemProps4.xml><?xml version="1.0" encoding="utf-8"?>
<ds:datastoreItem xmlns:ds="http://schemas.openxmlformats.org/officeDocument/2006/customXml" ds:itemID="{D89BD8C9-A8D1-4D10-AA02-9CA771064427}"/>
</file>

<file path=customXML/itemProps5.xml><?xml version="1.0" encoding="utf-8"?>
<ds:datastoreItem xmlns:ds="http://schemas.openxmlformats.org/officeDocument/2006/customXml" ds:itemID="{8B3FCB20-5B54-4253-A7F1-E010F9E1F920}"/>
</file>

<file path=customXML/itemProps6.xml><?xml version="1.0" encoding="utf-8"?>
<ds:datastoreItem xmlns:ds="http://schemas.openxmlformats.org/officeDocument/2006/customXml" ds:itemID="{3AF7C7B9-78C3-4865-97C0-B034521CA8E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terms:created xsi:type="dcterms:W3CDTF">2021-09-14T00:04:00Z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AbtEntity">
    <vt:lpwstr>2;#Department of Finance|fd660e8f-8f31-49bd-92a3-d31d4da31afe</vt:lpwstr>
  </property>
  <property fmtid="{D5CDD505-2E9C-101B-9397-08002B2CF9AE}" pid="4" name="g30b6d601f624994bd5004651b59f186">
    <vt:lpwstr/>
  </property>
  <property fmtid="{D5CDD505-2E9C-101B-9397-08002B2CF9AE}" pid="5" name="ContentTypeId">
    <vt:lpwstr>0x010100B321FEA60C5BA343A52BC94EC00ABC9E0700CBB09F3E7419694A957E1A5A78204E4D</vt:lpwstr>
  </property>
  <property fmtid="{D5CDD505-2E9C-101B-9397-08002B2CF9AE}" pid="6" name="Function and Activity">
    <vt:lpwstr/>
  </property>
  <property fmtid="{D5CDD505-2E9C-101B-9397-08002B2CF9AE}" pid="7" name="OrgUnit">
    <vt:lpwstr>1;#Budget Policy and Coordination|17ee49bf-b5ad-4a1d-82f9-550fc395193a</vt:lpwstr>
  </property>
  <property fmtid="{D5CDD505-2E9C-101B-9397-08002B2CF9AE}" pid="8" name="_dlc_DocIdItemGuid">
    <vt:lpwstr>79253727-c7bb-4271-9202-a7faba8d4729</vt:lpwstr>
  </property>
  <property fmtid="{D5CDD505-2E9C-101B-9397-08002B2CF9AE}" pid="9" name="InitiatingEntity">
    <vt:lpwstr>2;#Department of Finance|fd660e8f-8f31-49bd-92a3-d31d4da31afe</vt:lpwstr>
  </property>
  <property fmtid="{D5CDD505-2E9C-101B-9397-08002B2CF9AE}" pid="10" name="DocumentType">
    <vt:lpwstr/>
  </property>
</Properties>
</file>